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仿宋" w:hAnsi="仿宋" w:eastAsia="仿宋" w:cs="仿宋"/>
          <w:sz w:val="32"/>
        </w:rPr>
      </w:pPr>
    </w:p>
    <w:p>
      <w:pPr>
        <w:pStyle w:val="2"/>
        <w:kinsoku w:val="0"/>
        <w:wordWrap w:val="0"/>
        <w:topLinePunct/>
        <w:autoSpaceDE/>
        <w:spacing w:line="240" w:lineRule="auto"/>
        <w:jc w:val="center"/>
        <w:rPr>
          <w:rFonts w:hint="eastAsia" w:ascii="仿宋" w:hAnsi="仿宋" w:eastAsia="仿宋" w:cs="仿宋"/>
          <w:sz w:val="44"/>
        </w:rPr>
      </w:pPr>
      <w:r>
        <w:rPr>
          <w:rFonts w:hint="eastAsia" w:ascii="仿宋" w:hAnsi="仿宋" w:eastAsia="仿宋" w:cs="仿宋"/>
          <w:sz w:val="44"/>
        </w:rPr>
        <w:t>汕头大学医学院技术服务招标项目</w:t>
      </w:r>
    </w:p>
    <w:p>
      <w:pPr>
        <w:pStyle w:val="2"/>
        <w:kinsoku w:val="0"/>
        <w:wordWrap w:val="0"/>
        <w:topLinePunct/>
        <w:autoSpaceDE/>
        <w:spacing w:line="240" w:lineRule="auto"/>
        <w:jc w:val="center"/>
        <w:rPr>
          <w:rFonts w:hint="eastAsia" w:ascii="仿宋" w:hAnsi="仿宋" w:eastAsia="仿宋" w:cs="仿宋"/>
          <w:sz w:val="44"/>
        </w:rPr>
      </w:pPr>
    </w:p>
    <w:p>
      <w:pPr>
        <w:pStyle w:val="2"/>
        <w:kinsoku w:val="0"/>
        <w:wordWrap w:val="0"/>
        <w:topLinePunct/>
        <w:autoSpaceDE/>
        <w:spacing w:line="240" w:lineRule="auto"/>
        <w:jc w:val="center"/>
        <w:rPr>
          <w:rFonts w:hint="eastAsia" w:ascii="仿宋" w:hAnsi="仿宋" w:eastAsia="仿宋" w:cs="仿宋"/>
          <w:sz w:val="44"/>
        </w:rPr>
      </w:pPr>
      <w:r>
        <w:rPr>
          <w:rFonts w:hint="eastAsia" w:ascii="仿宋" w:hAnsi="仿宋" w:eastAsia="仿宋" w:cs="仿宋"/>
          <w:sz w:val="44"/>
        </w:rPr>
        <w:t>招   标   文   件</w:t>
      </w: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bidi w:val="0"/>
        <w:rPr>
          <w:rFonts w:hint="default" w:eastAsia="仿宋_GB2312"/>
          <w:lang w:val="en-US" w:eastAsia="zh-CN"/>
        </w:rPr>
      </w:pPr>
      <w:r>
        <w:rPr>
          <w:rFonts w:hint="eastAsia"/>
        </w:rPr>
        <w:t>招标编号：设202</w:t>
      </w:r>
      <w:r>
        <w:rPr>
          <w:rFonts w:hint="eastAsia"/>
          <w:lang w:val="en-US" w:eastAsia="zh-CN"/>
        </w:rPr>
        <w:t>4</w:t>
      </w:r>
      <w:r>
        <w:rPr>
          <w:rFonts w:hint="eastAsia"/>
        </w:rPr>
        <w:t>-</w:t>
      </w:r>
      <w:r>
        <w:rPr>
          <w:rFonts w:hint="eastAsia"/>
          <w:lang w:val="en-US" w:eastAsia="zh-CN"/>
        </w:rPr>
        <w:t xml:space="preserve">7 </w:t>
      </w:r>
      <w:r>
        <w:rPr>
          <w:rFonts w:hint="eastAsia"/>
        </w:rPr>
        <w:t>-</w:t>
      </w:r>
      <w:r>
        <w:rPr>
          <w:rFonts w:hint="eastAsia"/>
          <w:lang w:val="en-US" w:eastAsia="zh-CN"/>
        </w:rPr>
        <w:t>22</w:t>
      </w:r>
    </w:p>
    <w:p>
      <w:pPr>
        <w:pStyle w:val="86"/>
        <w:numPr>
          <w:ilvl w:val="0"/>
          <w:numId w:val="0"/>
        </w:numPr>
        <w:spacing w:line="360" w:lineRule="auto"/>
        <w:ind w:left="1420" w:leftChars="428" w:firstLine="0" w:firstLineChars="0"/>
        <w:rPr>
          <w:rFonts w:hint="eastAsia" w:ascii="仿宋" w:hAnsi="仿宋" w:eastAsia="仿宋" w:cs="仿宋"/>
          <w:sz w:val="30"/>
          <w:szCs w:val="30"/>
          <w:lang w:val="en-US" w:eastAsia="zh-CN"/>
        </w:rPr>
      </w:pPr>
      <w:r>
        <w:rPr>
          <w:rFonts w:hint="eastAsia" w:ascii="仿宋" w:hAnsi="仿宋" w:eastAsia="仿宋" w:cs="仿宋"/>
          <w:sz w:val="30"/>
          <w:szCs w:val="30"/>
        </w:rPr>
        <w:t>项目名称：汕头大学医学院皮肤样本构建10x单细胞核ATAC</w:t>
      </w:r>
      <w:r>
        <w:rPr>
          <w:rFonts w:hint="eastAsia" w:ascii="仿宋" w:hAnsi="仿宋" w:eastAsia="仿宋" w:cs="仿宋"/>
          <w:sz w:val="30"/>
          <w:szCs w:val="30"/>
          <w:lang w:val="en-US" w:eastAsia="zh-CN"/>
        </w:rPr>
        <w:t>和表达谱</w:t>
      </w:r>
      <w:r>
        <w:rPr>
          <w:rFonts w:hint="eastAsia" w:ascii="仿宋" w:hAnsi="仿宋" w:eastAsia="仿宋" w:cs="仿宋"/>
          <w:sz w:val="30"/>
          <w:szCs w:val="30"/>
        </w:rPr>
        <w:t>测序</w:t>
      </w:r>
      <w:r>
        <w:rPr>
          <w:rFonts w:hint="eastAsia" w:ascii="仿宋" w:hAnsi="仿宋" w:eastAsia="仿宋" w:cs="仿宋"/>
          <w:sz w:val="30"/>
          <w:szCs w:val="30"/>
          <w:lang w:val="en-US" w:eastAsia="zh-CN"/>
        </w:rPr>
        <w:t>服务</w:t>
      </w:r>
      <w:r>
        <w:rPr>
          <w:rFonts w:hint="eastAsia" w:ascii="仿宋" w:hAnsi="仿宋" w:eastAsia="仿宋" w:cs="仿宋"/>
          <w:sz w:val="30"/>
          <w:szCs w:val="30"/>
        </w:rPr>
        <w:t>招标项目</w:t>
      </w:r>
    </w:p>
    <w:p>
      <w:pPr>
        <w:kinsoku w:val="0"/>
        <w:wordWrap w:val="0"/>
        <w:topLinePunct/>
        <w:ind w:firstLine="1494"/>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jc w:val="center"/>
        <w:rPr>
          <w:rFonts w:hint="eastAsia" w:ascii="仿宋" w:hAnsi="仿宋" w:eastAsia="仿宋" w:cs="仿宋"/>
          <w:sz w:val="36"/>
        </w:rPr>
      </w:pPr>
    </w:p>
    <w:p>
      <w:pPr>
        <w:kinsoku w:val="0"/>
        <w:wordWrap w:val="0"/>
        <w:topLinePunct/>
        <w:jc w:val="center"/>
        <w:rPr>
          <w:rFonts w:hint="eastAsia" w:ascii="仿宋" w:hAnsi="仿宋" w:eastAsia="仿宋" w:cs="仿宋"/>
          <w:sz w:val="36"/>
        </w:rPr>
      </w:pPr>
      <w:r>
        <w:rPr>
          <w:rFonts w:hint="eastAsia" w:ascii="仿宋" w:hAnsi="仿宋" w:eastAsia="仿宋" w:cs="仿宋"/>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仿宋" w:hAnsi="仿宋" w:eastAsia="仿宋" w:cs="仿宋"/>
          <w:sz w:val="21"/>
        </w:rPr>
      </w:pPr>
      <w:r>
        <w:rPr>
          <w:rFonts w:hint="eastAsia" w:ascii="仿宋" w:hAnsi="仿宋" w:eastAsia="仿宋" w:cs="仿宋"/>
          <w:sz w:val="21"/>
        </w:rPr>
        <w:t>(欢迎访问我们的网站:http://www.med.stu.edu.cn)</w:t>
      </w:r>
    </w:p>
    <w:p>
      <w:pPr>
        <w:kinsoku w:val="0"/>
        <w:wordWrap w:val="0"/>
        <w:topLinePunct/>
        <w:jc w:val="center"/>
        <w:rPr>
          <w:rFonts w:hint="eastAsia" w:ascii="仿宋" w:hAnsi="仿宋" w:eastAsia="仿宋" w:cs="仿宋"/>
        </w:rPr>
      </w:pPr>
    </w:p>
    <w:p>
      <w:pPr>
        <w:kinsoku w:val="0"/>
        <w:wordWrap w:val="0"/>
        <w:topLinePunct/>
        <w:jc w:val="center"/>
        <w:rPr>
          <w:rFonts w:hint="eastAsia" w:ascii="仿宋" w:hAnsi="仿宋" w:eastAsia="仿宋" w:cs="仿宋"/>
          <w:sz w:val="36"/>
        </w:rPr>
      </w:pPr>
      <w:r>
        <w:rPr>
          <w:rFonts w:hint="eastAsia" w:ascii="仿宋" w:hAnsi="仿宋" w:eastAsia="仿宋" w:cs="仿宋"/>
          <w:sz w:val="36"/>
        </w:rPr>
        <w:t>汕头大学医学院</w:t>
      </w:r>
    </w:p>
    <w:p>
      <w:pPr>
        <w:kinsoku w:val="0"/>
        <w:wordWrap w:val="0"/>
        <w:topLinePunct/>
        <w:jc w:val="center"/>
        <w:rPr>
          <w:rFonts w:hint="default" w:ascii="仿宋" w:hAnsi="仿宋" w:eastAsia="仿宋" w:cs="仿宋"/>
          <w:sz w:val="44"/>
          <w:lang w:val="en-US" w:eastAsia="zh-CN"/>
        </w:rPr>
      </w:pPr>
      <w:r>
        <w:rPr>
          <w:rFonts w:hint="eastAsia" w:ascii="仿宋" w:hAnsi="仿宋" w:eastAsia="仿宋" w:cs="仿宋"/>
          <w:sz w:val="44"/>
        </w:rPr>
        <w:t>202</w:t>
      </w:r>
      <w:r>
        <w:rPr>
          <w:rFonts w:hint="eastAsia" w:ascii="仿宋" w:hAnsi="仿宋" w:eastAsia="仿宋" w:cs="仿宋"/>
          <w:sz w:val="44"/>
          <w:lang w:val="en-US" w:eastAsia="zh-CN"/>
        </w:rPr>
        <w:t>4</w:t>
      </w:r>
      <w:r>
        <w:rPr>
          <w:rFonts w:hint="eastAsia" w:ascii="仿宋" w:hAnsi="仿宋" w:eastAsia="仿宋" w:cs="仿宋"/>
          <w:sz w:val="44"/>
        </w:rPr>
        <w:t>．</w:t>
      </w:r>
      <w:r>
        <w:rPr>
          <w:rFonts w:hint="eastAsia" w:ascii="仿宋" w:hAnsi="仿宋" w:eastAsia="仿宋" w:cs="仿宋"/>
          <w:sz w:val="44"/>
          <w:lang w:val="en-US" w:eastAsia="zh-CN"/>
        </w:rPr>
        <w:t>7</w:t>
      </w:r>
      <w:r>
        <w:rPr>
          <w:rFonts w:hint="eastAsia" w:ascii="仿宋" w:hAnsi="仿宋" w:eastAsia="仿宋" w:cs="仿宋"/>
          <w:sz w:val="44"/>
        </w:rPr>
        <w:t>.</w:t>
      </w:r>
      <w:r>
        <w:rPr>
          <w:rFonts w:hint="eastAsia" w:ascii="仿宋" w:hAnsi="仿宋" w:eastAsia="仿宋" w:cs="仿宋"/>
          <w:sz w:val="44"/>
          <w:lang w:val="en-US" w:eastAsia="zh-CN"/>
        </w:rPr>
        <w:t>22</w:t>
      </w: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pageBreakBefore/>
        <w:kinsoku w:val="0"/>
        <w:wordWrap w:val="0"/>
        <w:topLinePunct/>
        <w:jc w:val="center"/>
        <w:rPr>
          <w:rFonts w:hint="eastAsia" w:ascii="仿宋" w:hAnsi="仿宋" w:eastAsia="仿宋" w:cs="仿宋"/>
          <w:b/>
          <w:sz w:val="44"/>
        </w:rPr>
      </w:pPr>
      <w:r>
        <w:rPr>
          <w:rFonts w:hint="eastAsia" w:ascii="仿宋" w:hAnsi="仿宋" w:eastAsia="仿宋" w:cs="仿宋"/>
          <w:b/>
          <w:sz w:val="44"/>
        </w:rPr>
        <w:t>目  录</w:t>
      </w:r>
    </w:p>
    <w:p>
      <w:pPr>
        <w:kinsoku w:val="0"/>
        <w:wordWrap w:val="0"/>
        <w:topLinePunct/>
        <w:jc w:val="center"/>
        <w:rPr>
          <w:rFonts w:hint="eastAsia" w:ascii="仿宋" w:hAnsi="仿宋" w:eastAsia="仿宋" w:cs="仿宋"/>
          <w:b/>
          <w:sz w:val="44"/>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第一部分  投标须知、招标项目说明</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投标人须知</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招标项目的名称、性质和数量</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投标报价方式及报价要求</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提交投标书的方式、地点和截止日期</w:t>
      </w:r>
    </w:p>
    <w:p>
      <w:pPr>
        <w:numPr>
          <w:ilvl w:val="0"/>
          <w:numId w:val="3"/>
        </w:numPr>
        <w:kinsoku w:val="0"/>
        <w:wordWrap w:val="0"/>
        <w:topLinePunct/>
        <w:rPr>
          <w:rFonts w:hint="eastAsia" w:ascii="仿宋" w:hAnsi="仿宋" w:eastAsia="仿宋" w:cs="仿宋"/>
        </w:rPr>
      </w:pPr>
      <w:r>
        <w:rPr>
          <w:rFonts w:hint="eastAsia" w:ascii="仿宋" w:hAnsi="仿宋" w:eastAsia="仿宋" w:cs="仿宋"/>
        </w:rPr>
        <w:t>评（议）标原则</w:t>
      </w:r>
    </w:p>
    <w:p>
      <w:pPr>
        <w:numPr>
          <w:ilvl w:val="0"/>
          <w:numId w:val="3"/>
        </w:numPr>
        <w:kinsoku w:val="0"/>
        <w:wordWrap w:val="0"/>
        <w:topLinePunct/>
        <w:rPr>
          <w:rFonts w:hint="eastAsia" w:ascii="仿宋" w:hAnsi="仿宋" w:eastAsia="仿宋" w:cs="仿宋"/>
        </w:rPr>
      </w:pPr>
      <w:r>
        <w:rPr>
          <w:rFonts w:hint="eastAsia" w:ascii="仿宋" w:hAnsi="仿宋" w:eastAsia="仿宋" w:cs="仿宋"/>
        </w:rPr>
        <w:t>开标、评标、定标</w:t>
      </w:r>
    </w:p>
    <w:p>
      <w:pPr>
        <w:numPr>
          <w:ilvl w:val="0"/>
          <w:numId w:val="3"/>
        </w:numPr>
        <w:kinsoku w:val="0"/>
        <w:wordWrap w:val="0"/>
        <w:topLinePunct/>
        <w:rPr>
          <w:rFonts w:hint="eastAsia" w:ascii="仿宋" w:hAnsi="仿宋" w:eastAsia="仿宋" w:cs="仿宋"/>
        </w:rPr>
      </w:pPr>
      <w:r>
        <w:rPr>
          <w:rFonts w:hint="eastAsia" w:ascii="仿宋" w:hAnsi="仿宋" w:eastAsia="仿宋" w:cs="仿宋"/>
        </w:rPr>
        <w:t>评标过程的保密性</w:t>
      </w:r>
    </w:p>
    <w:p>
      <w:pPr>
        <w:kinsoku w:val="0"/>
        <w:wordWrap w:val="0"/>
        <w:topLinePunct/>
        <w:adjustRightInd w:val="0"/>
        <w:snapToGrid w:val="0"/>
        <w:spacing w:before="50" w:after="50"/>
        <w:rPr>
          <w:rFonts w:hint="eastAsia" w:ascii="仿宋" w:hAnsi="仿宋" w:eastAsia="仿宋" w:cs="仿宋"/>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第二部分  技术规格要求和交货日期等</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项目内容数量</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主要技术指标、技术服务要求、时间</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技术服务质量及售后服务要求</w:t>
      </w:r>
    </w:p>
    <w:p>
      <w:pPr>
        <w:kinsoku w:val="0"/>
        <w:wordWrap w:val="0"/>
        <w:topLinePunct/>
        <w:adjustRightInd w:val="0"/>
        <w:snapToGrid w:val="0"/>
        <w:spacing w:before="50" w:after="50"/>
        <w:rPr>
          <w:rFonts w:hint="eastAsia" w:ascii="仿宋" w:hAnsi="仿宋" w:eastAsia="仿宋" w:cs="仿宋"/>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第三部分  合同样本</w:t>
      </w:r>
    </w:p>
    <w:p>
      <w:pPr>
        <w:kinsoku w:val="0"/>
        <w:wordWrap w:val="0"/>
        <w:topLinePunct/>
        <w:adjustRightInd w:val="0"/>
        <w:snapToGrid w:val="0"/>
        <w:spacing w:before="50" w:after="50"/>
        <w:rPr>
          <w:rFonts w:hint="eastAsia" w:ascii="仿宋" w:hAnsi="仿宋" w:eastAsia="仿宋" w:cs="仿宋"/>
          <w:b/>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第四部分  投标书格式</w:t>
      </w:r>
    </w:p>
    <w:p>
      <w:pPr>
        <w:kinsoku w:val="0"/>
        <w:wordWrap w:val="0"/>
        <w:topLinePunct/>
        <w:adjustRightInd w:val="0"/>
        <w:snapToGrid w:val="0"/>
        <w:spacing w:before="50" w:after="50"/>
        <w:rPr>
          <w:rFonts w:hint="eastAsia" w:ascii="仿宋" w:hAnsi="仿宋" w:eastAsia="仿宋" w:cs="仿宋"/>
          <w:b/>
          <w:sz w:val="32"/>
        </w:rPr>
      </w:pPr>
    </w:p>
    <w:p>
      <w:pPr>
        <w:kinsoku w:val="0"/>
        <w:wordWrap w:val="0"/>
        <w:topLinePunct/>
        <w:jc w:val="center"/>
        <w:rPr>
          <w:rFonts w:hint="eastAsia"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一、投标人须知</w:t>
      </w:r>
    </w:p>
    <w:p>
      <w:pPr>
        <w:numPr>
          <w:ilvl w:val="0"/>
          <w:numId w:val="5"/>
        </w:numPr>
        <w:tabs>
          <w:tab w:val="left" w:pos="166"/>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投标文件要求：</w:t>
      </w:r>
      <w:r>
        <w:rPr>
          <w:rFonts w:hint="eastAsia" w:ascii="仿宋" w:hAnsi="仿宋" w:eastAsia="仿宋" w:cs="仿宋"/>
          <w:b/>
          <w:bCs/>
          <w:sz w:val="21"/>
          <w:szCs w:val="21"/>
        </w:rPr>
        <w:t>正本（含资质文件）一份，副本五份[内容与正本一致]</w:t>
      </w:r>
      <w:r>
        <w:rPr>
          <w:rFonts w:hint="eastAsia" w:ascii="仿宋" w:hAnsi="仿宋" w:eastAsia="仿宋" w:cs="仿宋"/>
          <w:sz w:val="21"/>
          <w:szCs w:val="21"/>
        </w:rPr>
        <w:t>。</w:t>
      </w:r>
    </w:p>
    <w:p>
      <w:pPr>
        <w:spacing w:line="540" w:lineRule="exact"/>
        <w:ind w:left="425"/>
        <w:rPr>
          <w:rFonts w:hint="eastAsia" w:ascii="仿宋" w:hAnsi="仿宋" w:eastAsia="仿宋" w:cs="仿宋"/>
          <w:b/>
          <w:sz w:val="21"/>
          <w:szCs w:val="21"/>
        </w:rPr>
      </w:pPr>
      <w:r>
        <w:rPr>
          <w:rFonts w:hint="eastAsia" w:ascii="仿宋" w:hAnsi="仿宋" w:eastAsia="仿宋" w:cs="仿宋"/>
          <w:b/>
          <w:sz w:val="21"/>
          <w:szCs w:val="21"/>
        </w:rPr>
        <w:t>2.供应商资格要求</w:t>
      </w:r>
    </w:p>
    <w:p>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（1）具有独立承担民事责任的能力，投标人须在中国境内注册。</w:t>
      </w:r>
    </w:p>
    <w:p>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（2）参加本项目招标采购活动前三年内，在经营活动中没有重大违法记录（投标人自行提供书面声明）。</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（3）投标人单位负责人为同一人或者存在控股、管理关系的不同单位，不得参加本次投标。</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（4）投标人未被列入“信用中国”网站失信被执行人、重大税收违法案件严重违法失信行为记录名单（投标人自行提供</w:t>
      </w:r>
      <w:r>
        <w:rPr>
          <w:rFonts w:hint="eastAsia" w:ascii="仿宋" w:hAnsi="仿宋" w:eastAsia="仿宋" w:cs="仿宋"/>
          <w:sz w:val="21"/>
          <w:szCs w:val="21"/>
          <w:lang w:val="en-US" w:eastAsia="zh-CN"/>
        </w:rPr>
        <w:t>截图</w:t>
      </w:r>
      <w:r>
        <w:rPr>
          <w:rFonts w:hint="eastAsia" w:ascii="仿宋" w:hAnsi="仿宋" w:eastAsia="仿宋" w:cs="仿宋"/>
          <w:sz w:val="21"/>
          <w:szCs w:val="21"/>
        </w:rPr>
        <w:t>）。</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（5）本项目不接受联合体投标。</w:t>
      </w:r>
    </w:p>
    <w:p>
      <w:pPr>
        <w:numPr>
          <w:ilvl w:val="-1"/>
          <w:numId w:val="0"/>
        </w:numPr>
        <w:tabs>
          <w:tab w:val="left" w:pos="0"/>
        </w:tabs>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 xml:space="preserve">3. </w:t>
      </w:r>
      <w:r>
        <w:rPr>
          <w:rFonts w:hint="eastAsia" w:ascii="仿宋" w:hAnsi="仿宋" w:eastAsia="仿宋" w:cs="仿宋"/>
          <w:sz w:val="21"/>
          <w:szCs w:val="21"/>
        </w:rPr>
        <w:t>投标人可以在汕头大学医学院网站主页自行下载招标文件。投标人拿到招标书后，如有疑问，可在投标截止日期内与招标有关联系人联系。</w:t>
      </w:r>
    </w:p>
    <w:p>
      <w:pPr>
        <w:numPr>
          <w:ilvl w:val="-1"/>
          <w:numId w:val="0"/>
        </w:numPr>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投标书和签定合同要求企业法人或企业法人授权委托代表签名方为有效。</w:t>
      </w:r>
    </w:p>
    <w:p>
      <w:pPr>
        <w:numPr>
          <w:ilvl w:val="-1"/>
          <w:numId w:val="0"/>
        </w:numPr>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如有必要，投标人应接受招标人的答辩要求。</w:t>
      </w:r>
    </w:p>
    <w:p>
      <w:pPr>
        <w:numPr>
          <w:ilvl w:val="-1"/>
          <w:numId w:val="0"/>
        </w:numPr>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投标时每个投标单位向我院缴交人民币一百五十元资料费</w:t>
      </w:r>
    </w:p>
    <w:p>
      <w:pPr>
        <w:numPr>
          <w:ilvl w:val="-1"/>
          <w:numId w:val="0"/>
        </w:numPr>
        <w:kinsoku w:val="0"/>
        <w:wordWrap w:val="0"/>
        <w:topLinePunct/>
        <w:ind w:left="498" w:firstLine="0"/>
        <w:rPr>
          <w:rFonts w:hint="eastAsia" w:ascii="仿宋" w:hAnsi="仿宋" w:eastAsia="仿宋" w:cs="仿宋"/>
          <w:b/>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向我院缴交资料费时用此专用户头：</w:t>
      </w:r>
      <w:r>
        <w:rPr>
          <w:rFonts w:hint="eastAsia" w:ascii="仿宋" w:hAnsi="仿宋" w:eastAsia="仿宋" w:cs="仿宋"/>
          <w:b/>
          <w:sz w:val="21"/>
          <w:szCs w:val="21"/>
        </w:rPr>
        <w:t xml:space="preserve">单位名称：（汕头大学医学院 ）  帐号：（705557744822 ）  开户行：（中行嘉泰支行） </w:t>
      </w:r>
    </w:p>
    <w:p>
      <w:pPr>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pPr>
        <w:kinsoku w:val="0"/>
        <w:wordWrap w:val="0"/>
        <w:topLinePunct/>
        <w:ind w:left="425"/>
        <w:rPr>
          <w:rFonts w:hint="eastAsia" w:ascii="仿宋" w:hAnsi="仿宋" w:eastAsia="仿宋" w:cs="仿宋"/>
          <w:sz w:val="21"/>
        </w:rPr>
      </w:pPr>
      <w:r>
        <w:rPr>
          <w:rFonts w:hint="eastAsia" w:ascii="仿宋" w:hAnsi="仿宋" w:eastAsia="仿宋" w:cs="仿宋"/>
          <w:sz w:val="18"/>
        </w:rPr>
        <w:t xml:space="preserve">   </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二、招标项目的名称</w:t>
      </w:r>
    </w:p>
    <w:p>
      <w:pPr>
        <w:pStyle w:val="86"/>
        <w:numPr>
          <w:ilvl w:val="0"/>
          <w:numId w:val="0"/>
        </w:numPr>
        <w:spacing w:line="360" w:lineRule="auto"/>
        <w:ind w:firstLine="524" w:firstLineChars="200"/>
        <w:rPr>
          <w:rFonts w:hint="eastAsia" w:ascii="仿宋" w:hAnsi="仿宋" w:eastAsia="仿宋" w:cs="仿宋"/>
          <w:sz w:val="21"/>
          <w:szCs w:val="21"/>
          <w:lang w:val="en-US" w:eastAsia="zh-CN"/>
        </w:rPr>
      </w:pPr>
      <w:r>
        <w:rPr>
          <w:rFonts w:hint="eastAsia" w:ascii="仿宋" w:hAnsi="仿宋" w:eastAsia="仿宋" w:cs="仿宋"/>
          <w:sz w:val="21"/>
          <w:szCs w:val="21"/>
        </w:rPr>
        <w:t>汕头大学医学院皮肤样本构建10x单细胞核ATAC</w:t>
      </w:r>
      <w:r>
        <w:rPr>
          <w:rFonts w:hint="eastAsia" w:ascii="仿宋" w:hAnsi="仿宋" w:eastAsia="仿宋" w:cs="仿宋"/>
          <w:sz w:val="21"/>
          <w:szCs w:val="21"/>
          <w:lang w:val="en-US" w:eastAsia="zh-CN"/>
        </w:rPr>
        <w:t>和表达谱</w:t>
      </w:r>
      <w:r>
        <w:rPr>
          <w:rFonts w:hint="eastAsia" w:ascii="仿宋" w:hAnsi="仿宋" w:eastAsia="仿宋" w:cs="仿宋"/>
          <w:sz w:val="21"/>
          <w:szCs w:val="21"/>
        </w:rPr>
        <w:t>测序</w:t>
      </w:r>
      <w:r>
        <w:rPr>
          <w:rFonts w:hint="eastAsia" w:ascii="仿宋" w:hAnsi="仿宋" w:eastAsia="仿宋" w:cs="仿宋"/>
          <w:sz w:val="21"/>
          <w:szCs w:val="21"/>
          <w:lang w:val="en-US" w:eastAsia="zh-CN"/>
        </w:rPr>
        <w:t>服务</w:t>
      </w:r>
      <w:r>
        <w:rPr>
          <w:rFonts w:hint="eastAsia" w:ascii="仿宋" w:hAnsi="仿宋" w:eastAsia="仿宋" w:cs="仿宋"/>
          <w:sz w:val="21"/>
          <w:szCs w:val="21"/>
        </w:rPr>
        <w:t>招标项目</w:t>
      </w:r>
    </w:p>
    <w:p>
      <w:pPr>
        <w:kinsoku w:val="0"/>
        <w:wordWrap w:val="0"/>
        <w:topLinePunct/>
        <w:rPr>
          <w:rFonts w:hint="eastAsia" w:ascii="仿宋" w:hAnsi="仿宋" w:eastAsia="仿宋" w:cs="仿宋"/>
          <w:b/>
          <w:sz w:val="21"/>
          <w:szCs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三、投标报价方式及报价要求</w:t>
      </w:r>
    </w:p>
    <w:p>
      <w:pPr>
        <w:tabs>
          <w:tab w:val="left" w:pos="0"/>
        </w:tabs>
        <w:kinsoku w:val="0"/>
        <w:wordWrap w:val="0"/>
        <w:topLinePunct/>
        <w:rPr>
          <w:rFonts w:hint="eastAsia" w:ascii="仿宋" w:hAnsi="仿宋" w:eastAsia="仿宋" w:cs="仿宋"/>
          <w:sz w:val="21"/>
          <w:szCs w:val="21"/>
          <w:lang w:eastAsia="zh-CN"/>
        </w:rPr>
      </w:pPr>
      <w:r>
        <w:rPr>
          <w:rFonts w:hint="eastAsia" w:ascii="仿宋" w:hAnsi="仿宋" w:eastAsia="仿宋" w:cs="仿宋"/>
          <w:sz w:val="21"/>
          <w:szCs w:val="21"/>
        </w:rPr>
        <w:t>报价方式：仅以人民币报价。</w:t>
      </w:r>
      <w:r>
        <w:rPr>
          <w:rFonts w:hint="eastAsia" w:ascii="仿宋" w:hAnsi="仿宋" w:eastAsia="仿宋" w:cs="仿宋"/>
          <w:sz w:val="21"/>
          <w:szCs w:val="21"/>
          <w:lang w:eastAsia="zh-CN"/>
        </w:rPr>
        <w:t>投标总价不得高于总预算，各单项报价不得高于该单项最高限价。</w:t>
      </w:r>
    </w:p>
    <w:p>
      <w:pPr>
        <w:kinsoku w:val="0"/>
        <w:wordWrap w:val="0"/>
        <w:topLinePunct/>
        <w:rPr>
          <w:rFonts w:hint="eastAsia" w:ascii="仿宋" w:hAnsi="仿宋" w:eastAsia="仿宋" w:cs="仿宋"/>
          <w:b/>
          <w:sz w:val="21"/>
          <w:szCs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四、提交投标书的方式、地点和截止时间</w:t>
      </w:r>
    </w:p>
    <w:p>
      <w:pPr>
        <w:numPr>
          <w:ilvl w:val="0"/>
          <w:numId w:val="6"/>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投标书必须以密封加盖骑缝章的形式亲自或快递送达汕头新陵路22号汕头大学医学院    设备科</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联系人：杨成瑜</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联系电话：（0754）88900477、13016667886</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传真电话：（0754）88900305</w:t>
      </w:r>
    </w:p>
    <w:p>
      <w:pPr>
        <w:kinsoku w:val="0"/>
        <w:wordWrap w:val="0"/>
        <w:topLinePunct/>
        <w:ind w:firstLine="780"/>
        <w:rPr>
          <w:rFonts w:hint="eastAsia" w:ascii="仿宋" w:hAnsi="仿宋" w:eastAsia="仿宋" w:cs="仿宋"/>
          <w:b/>
          <w:bCs/>
          <w:i/>
          <w:iCs/>
          <w:sz w:val="24"/>
        </w:rPr>
      </w:pPr>
    </w:p>
    <w:p>
      <w:pPr>
        <w:kinsoku w:val="0"/>
        <w:wordWrap w:val="0"/>
        <w:topLinePunct/>
        <w:ind w:firstLine="780"/>
        <w:rPr>
          <w:rFonts w:hint="eastAsia" w:ascii="仿宋" w:hAnsi="仿宋" w:eastAsia="仿宋" w:cs="仿宋"/>
          <w:b/>
          <w:bCs/>
          <w:i/>
          <w:iCs/>
          <w:sz w:val="24"/>
        </w:rPr>
      </w:pPr>
      <w:r>
        <w:rPr>
          <w:rFonts w:hint="eastAsia" w:ascii="仿宋" w:hAnsi="仿宋" w:eastAsia="仿宋" w:cs="仿宋"/>
          <w:b/>
          <w:bCs/>
          <w:i/>
          <w:iCs/>
          <w:sz w:val="24"/>
        </w:rPr>
        <w:t>投标截止时间：202</w:t>
      </w:r>
      <w:r>
        <w:rPr>
          <w:rFonts w:hint="eastAsia" w:ascii="仿宋" w:hAnsi="仿宋" w:eastAsia="仿宋" w:cs="仿宋"/>
          <w:b/>
          <w:bCs/>
          <w:i/>
          <w:iCs/>
          <w:sz w:val="24"/>
          <w:lang w:val="en-US" w:eastAsia="zh-CN"/>
        </w:rPr>
        <w:t>4</w:t>
      </w:r>
      <w:r>
        <w:rPr>
          <w:rFonts w:hint="eastAsia" w:ascii="仿宋" w:hAnsi="仿宋" w:eastAsia="仿宋" w:cs="仿宋"/>
          <w:b/>
          <w:bCs/>
          <w:i/>
          <w:iCs/>
          <w:sz w:val="24"/>
        </w:rPr>
        <w:t>年</w:t>
      </w:r>
      <w:r>
        <w:rPr>
          <w:rFonts w:hint="eastAsia" w:ascii="仿宋" w:hAnsi="仿宋" w:eastAsia="仿宋" w:cs="仿宋"/>
          <w:b/>
          <w:bCs/>
          <w:i/>
          <w:iCs/>
          <w:sz w:val="24"/>
          <w:lang w:val="en-US" w:eastAsia="zh-CN"/>
        </w:rPr>
        <w:t xml:space="preserve"> 8 </w:t>
      </w:r>
      <w:r>
        <w:rPr>
          <w:rFonts w:hint="eastAsia" w:ascii="仿宋" w:hAnsi="仿宋" w:eastAsia="仿宋" w:cs="仿宋"/>
          <w:b/>
          <w:bCs/>
          <w:i/>
          <w:iCs/>
          <w:sz w:val="24"/>
        </w:rPr>
        <w:t>月</w:t>
      </w:r>
      <w:r>
        <w:rPr>
          <w:rFonts w:hint="eastAsia" w:ascii="仿宋" w:hAnsi="仿宋" w:eastAsia="仿宋" w:cs="仿宋"/>
          <w:b/>
          <w:bCs/>
          <w:i/>
          <w:iCs/>
          <w:sz w:val="24"/>
          <w:lang w:val="en-US" w:eastAsia="zh-CN"/>
        </w:rPr>
        <w:t xml:space="preserve"> 1</w:t>
      </w:r>
      <w:r>
        <w:rPr>
          <w:rFonts w:hint="eastAsia" w:ascii="仿宋" w:hAnsi="仿宋" w:eastAsia="仿宋" w:cs="仿宋"/>
          <w:b/>
          <w:bCs/>
          <w:i/>
          <w:iCs/>
          <w:sz w:val="24"/>
        </w:rPr>
        <w:t>日上午9:30(北京时间)</w:t>
      </w:r>
    </w:p>
    <w:p>
      <w:pPr>
        <w:kinsoku w:val="0"/>
        <w:wordWrap w:val="0"/>
        <w:topLinePunct/>
        <w:rPr>
          <w:rFonts w:hint="eastAsia" w:ascii="仿宋" w:hAnsi="仿宋" w:eastAsia="仿宋" w:cs="仿宋"/>
          <w:b/>
          <w:sz w:val="21"/>
        </w:rPr>
      </w:pPr>
      <w:r>
        <w:rPr>
          <w:rFonts w:hint="eastAsia" w:ascii="仿宋" w:hAnsi="仿宋" w:eastAsia="仿宋" w:cs="仿宋"/>
          <w:b/>
          <w:sz w:val="21"/>
        </w:rPr>
        <w:t>五、评（议）标原则</w:t>
      </w:r>
    </w:p>
    <w:p>
      <w:pPr>
        <w:kinsoku w:val="0"/>
        <w:wordWrap w:val="0"/>
        <w:topLinePunct/>
        <w:rPr>
          <w:rFonts w:ascii="仿宋" w:hAnsi="仿宋" w:eastAsia="仿宋" w:cs="仿宋"/>
          <w:b/>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1.本次采购采用综合评分法，按分数高低选出中标候选人。</w:t>
      </w:r>
    </w:p>
    <w:p>
      <w:pPr>
        <w:pStyle w:val="17"/>
        <w:tabs>
          <w:tab w:val="left" w:pos="-166"/>
        </w:tabs>
        <w:kinsoku w:val="0"/>
        <w:wordWrap w:val="0"/>
        <w:topLinePunct/>
        <w:ind w:left="0" w:leftChars="0" w:firstLine="786" w:firstLineChars="300"/>
        <w:rPr>
          <w:rFonts w:hint="eastAsia" w:ascii="仿宋" w:hAnsi="仿宋" w:eastAsia="仿宋" w:cs="仿宋"/>
          <w:sz w:val="18"/>
        </w:rPr>
      </w:pPr>
      <w:r>
        <w:rPr>
          <w:rFonts w:hint="eastAsia" w:ascii="仿宋" w:hAnsi="仿宋" w:eastAsia="仿宋" w:cs="仿宋"/>
          <w:sz w:val="21"/>
          <w:szCs w:val="21"/>
        </w:rPr>
        <w:t>2. 评分表：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305"/>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jc w:val="center"/>
              <w:rPr>
                <w:sz w:val="21"/>
                <w:szCs w:val="21"/>
              </w:rPr>
            </w:pPr>
            <w:r>
              <w:rPr>
                <w:sz w:val="21"/>
                <w:szCs w:val="21"/>
              </w:rPr>
              <w:t>评审因素</w:t>
            </w:r>
          </w:p>
        </w:tc>
        <w:tc>
          <w:tcPr>
            <w:tcW w:w="7375" w:type="dxa"/>
            <w:gridSpan w:val="2"/>
          </w:tcPr>
          <w:p>
            <w:pPr>
              <w:jc w:val="center"/>
              <w:rPr>
                <w:sz w:val="21"/>
                <w:szCs w:val="21"/>
              </w:rPr>
            </w:pPr>
            <w:r>
              <w:rPr>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jc w:val="center"/>
              <w:rPr>
                <w:sz w:val="21"/>
                <w:szCs w:val="21"/>
              </w:rPr>
            </w:pPr>
            <w:r>
              <w:rPr>
                <w:sz w:val="21"/>
                <w:szCs w:val="21"/>
              </w:rPr>
              <w:t>分值构成</w:t>
            </w:r>
          </w:p>
        </w:tc>
        <w:tc>
          <w:tcPr>
            <w:tcW w:w="7375" w:type="dxa"/>
            <w:gridSpan w:val="2"/>
          </w:tcPr>
          <w:p>
            <w:pPr>
              <w:rPr>
                <w:sz w:val="21"/>
                <w:szCs w:val="21"/>
              </w:rPr>
            </w:pPr>
            <w:r>
              <w:rPr>
                <w:sz w:val="21"/>
                <w:szCs w:val="21"/>
              </w:rPr>
              <w:t>技术部分55分</w:t>
            </w:r>
          </w:p>
          <w:p>
            <w:pPr>
              <w:rPr>
                <w:sz w:val="21"/>
                <w:szCs w:val="21"/>
              </w:rPr>
            </w:pPr>
            <w:r>
              <w:rPr>
                <w:sz w:val="21"/>
                <w:szCs w:val="21"/>
              </w:rPr>
              <w:t>商务部分35分</w:t>
            </w:r>
          </w:p>
          <w:p>
            <w:pPr>
              <w:rPr>
                <w:sz w:val="21"/>
                <w:szCs w:val="21"/>
              </w:rPr>
            </w:pPr>
            <w:r>
              <w:rPr>
                <w:sz w:val="21"/>
                <w:szCs w:val="21"/>
              </w:rPr>
              <w:t>报价得分10.0分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jc w:val="center"/>
              <w:rPr>
                <w:sz w:val="21"/>
                <w:szCs w:val="21"/>
              </w:rPr>
            </w:pPr>
            <w:r>
              <w:rPr>
                <w:sz w:val="21"/>
                <w:szCs w:val="21"/>
              </w:rPr>
              <w:t>技术部分</w:t>
            </w:r>
          </w:p>
        </w:tc>
        <w:tc>
          <w:tcPr>
            <w:tcW w:w="2305" w:type="dxa"/>
            <w:vAlign w:val="center"/>
          </w:tcPr>
          <w:p>
            <w:pPr>
              <w:autoSpaceDE w:val="0"/>
              <w:autoSpaceDN w:val="0"/>
              <w:contextualSpacing/>
              <w:rPr>
                <w:sz w:val="21"/>
                <w:szCs w:val="21"/>
              </w:rPr>
            </w:pPr>
            <w:r>
              <w:rPr>
                <w:rFonts w:hint="eastAsia" w:ascii="宋体" w:hAnsi="宋体"/>
                <w:b/>
                <w:bCs/>
                <w:sz w:val="21"/>
                <w:szCs w:val="21"/>
              </w:rPr>
              <w:t>根据投标人对招标文件的技术参数逐条响应情况进行评分（</w:t>
            </w:r>
            <w:r>
              <w:rPr>
                <w:rFonts w:ascii="宋体" w:hAnsi="宋体"/>
                <w:b/>
                <w:bCs/>
                <w:sz w:val="21"/>
                <w:szCs w:val="21"/>
              </w:rPr>
              <w:t>20</w:t>
            </w:r>
            <w:r>
              <w:rPr>
                <w:rFonts w:hint="eastAsia" w:ascii="宋体" w:hAnsi="宋体"/>
                <w:b/>
                <w:bCs/>
                <w:sz w:val="21"/>
                <w:szCs w:val="21"/>
              </w:rPr>
              <w:t>.0分）</w:t>
            </w:r>
          </w:p>
        </w:tc>
        <w:tc>
          <w:tcPr>
            <w:tcW w:w="5070" w:type="dxa"/>
            <w:vAlign w:val="center"/>
          </w:tcPr>
          <w:p>
            <w:pPr>
              <w:autoSpaceDE w:val="0"/>
              <w:autoSpaceDN w:val="0"/>
              <w:contextualSpacing/>
              <w:rPr>
                <w:sz w:val="21"/>
                <w:szCs w:val="21"/>
              </w:rPr>
            </w:pPr>
            <w:r>
              <w:rPr>
                <w:rFonts w:hint="eastAsia"/>
                <w:sz w:val="21"/>
                <w:szCs w:val="21"/>
              </w:rPr>
              <w:t xml:space="preserve">考查各投标人对一般技术参数的响应程度： </w:t>
            </w:r>
          </w:p>
          <w:p>
            <w:pPr>
              <w:autoSpaceDE w:val="0"/>
              <w:autoSpaceDN w:val="0"/>
              <w:contextualSpacing/>
              <w:rPr>
                <w:sz w:val="21"/>
                <w:szCs w:val="21"/>
              </w:rPr>
            </w:pPr>
            <w:r>
              <w:rPr>
                <w:rFonts w:hint="eastAsia"/>
                <w:sz w:val="21"/>
                <w:szCs w:val="21"/>
              </w:rPr>
              <w:t>一般技术参数完全满足或优于得</w:t>
            </w:r>
            <w:r>
              <w:rPr>
                <w:sz w:val="21"/>
                <w:szCs w:val="21"/>
              </w:rPr>
              <w:t>20</w:t>
            </w:r>
            <w:r>
              <w:rPr>
                <w:rFonts w:hint="eastAsia"/>
                <w:sz w:val="21"/>
                <w:szCs w:val="21"/>
              </w:rPr>
              <w:t>分；负偏离总数≤10条的，每出现一处负偏离，扣</w:t>
            </w:r>
            <w:r>
              <w:rPr>
                <w:sz w:val="21"/>
                <w:szCs w:val="21"/>
              </w:rPr>
              <w:t>1</w:t>
            </w:r>
            <w:r>
              <w:rPr>
                <w:rFonts w:hint="eastAsia"/>
                <w:sz w:val="21"/>
                <w:szCs w:val="21"/>
              </w:rPr>
              <w:t>分，合计最多扣</w:t>
            </w:r>
            <w:r>
              <w:rPr>
                <w:sz w:val="21"/>
                <w:szCs w:val="21"/>
              </w:rPr>
              <w:t>10</w:t>
            </w:r>
            <w:r>
              <w:rPr>
                <w:rFonts w:hint="eastAsia"/>
                <w:sz w:val="21"/>
                <w:szCs w:val="21"/>
              </w:rPr>
              <w:t>分；负偏离总数＞10条的，扣分=</w:t>
            </w:r>
            <w:r>
              <w:rPr>
                <w:sz w:val="21"/>
                <w:szCs w:val="21"/>
              </w:rPr>
              <w:t>10</w:t>
            </w:r>
            <w:r>
              <w:rPr>
                <w:rFonts w:hint="eastAsia"/>
                <w:sz w:val="21"/>
                <w:szCs w:val="21"/>
              </w:rPr>
              <w:t>分+（负偏离总数-10）/（一般技术条款总数-10）×</w:t>
            </w:r>
            <w:r>
              <w:rPr>
                <w:sz w:val="21"/>
                <w:szCs w:val="21"/>
              </w:rPr>
              <w:t>10</w:t>
            </w:r>
            <w:r>
              <w:rPr>
                <w:rFonts w:hint="eastAsia"/>
                <w:sz w:val="21"/>
                <w:szCs w:val="21"/>
              </w:rPr>
              <w:t>分，结果四舍五入保留两位小数。</w:t>
            </w:r>
          </w:p>
          <w:p>
            <w:pPr>
              <w:jc w:val="left"/>
              <w:rPr>
                <w:sz w:val="21"/>
                <w:szCs w:val="21"/>
              </w:rPr>
            </w:pPr>
            <w:r>
              <w:rPr>
                <w:rFonts w:hint="eastAsia"/>
                <w:sz w:val="21"/>
                <w:szCs w:val="21"/>
              </w:rPr>
              <w:t>注：采购需求中有要求提供证明材料的，按要求提供相关证明材料，未按要求提供证明材料的不得分；其余的参数或条款以技术和服务要求响应表响应情况为准。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rPr>
                <w:sz w:val="21"/>
                <w:szCs w:val="21"/>
              </w:rPr>
            </w:pPr>
          </w:p>
        </w:tc>
        <w:tc>
          <w:tcPr>
            <w:tcW w:w="2305" w:type="dxa"/>
          </w:tcPr>
          <w:p>
            <w:pPr>
              <w:widowControl/>
              <w:contextualSpacing/>
              <w:rPr>
                <w:sz w:val="21"/>
                <w:szCs w:val="21"/>
              </w:rPr>
            </w:pPr>
            <w:r>
              <w:rPr>
                <w:sz w:val="21"/>
                <w:szCs w:val="21"/>
              </w:rPr>
              <w:t>项目实施方案 (10.0分)</w:t>
            </w:r>
          </w:p>
        </w:tc>
        <w:tc>
          <w:tcPr>
            <w:tcW w:w="5070" w:type="dxa"/>
          </w:tcPr>
          <w:p>
            <w:pPr>
              <w:contextualSpacing/>
              <w:rPr>
                <w:sz w:val="21"/>
                <w:szCs w:val="21"/>
              </w:rPr>
            </w:pPr>
            <w:r>
              <w:rPr>
                <w:sz w:val="21"/>
                <w:szCs w:val="21"/>
              </w:rPr>
              <w:t>根据用户需求“</w:t>
            </w:r>
            <w:r>
              <w:rPr>
                <w:rFonts w:hint="eastAsia"/>
                <w:sz w:val="21"/>
                <w:szCs w:val="21"/>
              </w:rPr>
              <w:t>第二章 采购需求：一、项目概况：（</w:t>
            </w:r>
            <w:r>
              <w:rPr>
                <w:sz w:val="21"/>
                <w:szCs w:val="21"/>
              </w:rPr>
              <w:t>10</w:t>
            </w:r>
            <w:r>
              <w:rPr>
                <w:rFonts w:hint="eastAsia"/>
                <w:sz w:val="21"/>
                <w:szCs w:val="21"/>
              </w:rPr>
              <w:t>）本项目方案要求</w:t>
            </w:r>
            <w:r>
              <w:rPr>
                <w:sz w:val="21"/>
                <w:szCs w:val="21"/>
              </w:rPr>
              <w:t>”，对投标人提供的项目实施方案进行评分：</w:t>
            </w:r>
          </w:p>
          <w:p>
            <w:pPr>
              <w:contextualSpacing/>
              <w:rPr>
                <w:sz w:val="21"/>
                <w:szCs w:val="21"/>
              </w:rPr>
            </w:pPr>
            <w:r>
              <w:rPr>
                <w:rFonts w:hint="eastAsia"/>
                <w:sz w:val="21"/>
                <w:szCs w:val="21"/>
              </w:rPr>
              <w:t>（1）实验方案完整详细，例举数据分析内容科学合理，实施流程清晰且可控性强，服务周期安排可操作性强，完全符合且优于项目要求，得10分；</w:t>
            </w:r>
          </w:p>
          <w:p>
            <w:pPr>
              <w:contextualSpacing/>
              <w:rPr>
                <w:sz w:val="21"/>
                <w:szCs w:val="21"/>
              </w:rPr>
            </w:pPr>
            <w:r>
              <w:rPr>
                <w:rFonts w:hint="eastAsia"/>
                <w:sz w:val="21"/>
                <w:szCs w:val="21"/>
              </w:rPr>
              <w:t>（2）实验方案较为详细，例举数据分析内容较为科学合理，实施流程清晰且可控性较强，服务周期安排可操作性较强，完全符合项目要求，得7分；</w:t>
            </w:r>
          </w:p>
          <w:p>
            <w:pPr>
              <w:contextualSpacing/>
              <w:rPr>
                <w:sz w:val="21"/>
                <w:szCs w:val="21"/>
              </w:rPr>
            </w:pPr>
            <w:r>
              <w:rPr>
                <w:rFonts w:hint="eastAsia"/>
                <w:sz w:val="21"/>
                <w:szCs w:val="21"/>
              </w:rPr>
              <w:t>（3）实验方案粗略，例举数据分析内容一般，实施流程简略，服务周期安排一般，不完全符合项目要求，得3分；</w:t>
            </w:r>
          </w:p>
          <w:p>
            <w:pPr>
              <w:contextualSpacing/>
              <w:rPr>
                <w:sz w:val="21"/>
                <w:szCs w:val="21"/>
              </w:rPr>
            </w:pPr>
            <w:r>
              <w:rPr>
                <w:rFonts w:hint="eastAsia"/>
                <w:sz w:val="21"/>
                <w:szCs w:val="21"/>
              </w:rPr>
              <w:t>（4）未提供方案或其他情况，不得分。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rPr>
                <w:sz w:val="21"/>
                <w:szCs w:val="21"/>
              </w:rPr>
            </w:pPr>
          </w:p>
        </w:tc>
        <w:tc>
          <w:tcPr>
            <w:tcW w:w="2305" w:type="dxa"/>
          </w:tcPr>
          <w:p>
            <w:pPr>
              <w:widowControl/>
              <w:contextualSpacing/>
              <w:rPr>
                <w:sz w:val="21"/>
                <w:szCs w:val="21"/>
              </w:rPr>
            </w:pPr>
            <w:r>
              <w:rPr>
                <w:sz w:val="21"/>
                <w:szCs w:val="21"/>
              </w:rPr>
              <w:t>质量保障措施 (10.0分)</w:t>
            </w:r>
          </w:p>
        </w:tc>
        <w:tc>
          <w:tcPr>
            <w:tcW w:w="5070" w:type="dxa"/>
          </w:tcPr>
          <w:p>
            <w:pPr>
              <w:contextualSpacing/>
              <w:rPr>
                <w:sz w:val="21"/>
                <w:szCs w:val="21"/>
              </w:rPr>
            </w:pPr>
            <w:r>
              <w:rPr>
                <w:sz w:val="21"/>
                <w:szCs w:val="21"/>
              </w:rPr>
              <w:t>根据用户需求“</w:t>
            </w:r>
            <w:r>
              <w:rPr>
                <w:rFonts w:hint="eastAsia"/>
                <w:sz w:val="21"/>
                <w:szCs w:val="21"/>
              </w:rPr>
              <w:t>第二章 采购需求：一、项目概况：本项目方案要求</w:t>
            </w:r>
            <w:r>
              <w:rPr>
                <w:sz w:val="21"/>
                <w:szCs w:val="21"/>
              </w:rPr>
              <w:t>”， 对投标人提供的质量保障措施方案进行评分：</w:t>
            </w:r>
          </w:p>
          <w:p>
            <w:pPr>
              <w:contextualSpacing/>
              <w:rPr>
                <w:sz w:val="21"/>
                <w:szCs w:val="21"/>
              </w:rPr>
            </w:pPr>
            <w:r>
              <w:rPr>
                <w:rFonts w:hint="eastAsia"/>
                <w:sz w:val="21"/>
                <w:szCs w:val="21"/>
              </w:rPr>
              <w:t>（1）</w:t>
            </w:r>
            <w:r>
              <w:rPr>
                <w:sz w:val="21"/>
                <w:szCs w:val="21"/>
              </w:rPr>
              <w:t>有完善的质量保障措施，能对可能发生的风险点的进行预测，并提出得当的防控措施，可操作性强，完全满足且优于项目要求</w:t>
            </w:r>
            <w:r>
              <w:rPr>
                <w:rFonts w:hint="eastAsia"/>
                <w:sz w:val="21"/>
                <w:szCs w:val="21"/>
              </w:rPr>
              <w:t>，</w:t>
            </w:r>
            <w:r>
              <w:rPr>
                <w:sz w:val="21"/>
                <w:szCs w:val="21"/>
              </w:rPr>
              <w:t>得10分；</w:t>
            </w:r>
          </w:p>
          <w:p>
            <w:pPr>
              <w:contextualSpacing/>
              <w:rPr>
                <w:sz w:val="21"/>
                <w:szCs w:val="21"/>
              </w:rPr>
            </w:pPr>
            <w:r>
              <w:rPr>
                <w:rFonts w:hint="eastAsia"/>
                <w:sz w:val="21"/>
                <w:szCs w:val="21"/>
              </w:rPr>
              <w:t>（2）</w:t>
            </w:r>
            <w:r>
              <w:rPr>
                <w:sz w:val="21"/>
                <w:szCs w:val="21"/>
              </w:rPr>
              <w:t>有基本完善的质量保障措施，基本能对可能发生的风险点进行预测，并提出基本合理的防控措施，具有可操作性，完全</w:t>
            </w:r>
            <w:r>
              <w:rPr>
                <w:rFonts w:hint="eastAsia"/>
                <w:sz w:val="21"/>
                <w:szCs w:val="21"/>
              </w:rPr>
              <w:t>符合项目要求，</w:t>
            </w:r>
            <w:r>
              <w:rPr>
                <w:sz w:val="21"/>
                <w:szCs w:val="21"/>
              </w:rPr>
              <w:t>得7分；</w:t>
            </w:r>
          </w:p>
          <w:p>
            <w:pPr>
              <w:contextualSpacing/>
              <w:rPr>
                <w:sz w:val="21"/>
                <w:szCs w:val="21"/>
              </w:rPr>
            </w:pPr>
            <w:r>
              <w:rPr>
                <w:rFonts w:hint="eastAsia"/>
                <w:sz w:val="21"/>
                <w:szCs w:val="21"/>
              </w:rPr>
              <w:t>（3）</w:t>
            </w:r>
            <w:r>
              <w:rPr>
                <w:sz w:val="21"/>
                <w:szCs w:val="21"/>
              </w:rPr>
              <w:t>质量保障措施一般，基本能对可能发生的风险点进行预测，防控措施一般，具有一定的可操作性，不完全</w:t>
            </w:r>
            <w:r>
              <w:rPr>
                <w:rFonts w:hint="eastAsia"/>
                <w:sz w:val="21"/>
                <w:szCs w:val="21"/>
              </w:rPr>
              <w:t>符合项目要求，</w:t>
            </w:r>
            <w:r>
              <w:rPr>
                <w:sz w:val="21"/>
                <w:szCs w:val="21"/>
              </w:rPr>
              <w:t>得3分；</w:t>
            </w:r>
          </w:p>
          <w:p>
            <w:pPr>
              <w:contextualSpacing/>
              <w:rPr>
                <w:sz w:val="21"/>
                <w:szCs w:val="21"/>
              </w:rPr>
            </w:pPr>
            <w:r>
              <w:rPr>
                <w:rFonts w:hint="eastAsia"/>
                <w:sz w:val="21"/>
                <w:szCs w:val="21"/>
              </w:rPr>
              <w:t>（4）</w:t>
            </w:r>
            <w:r>
              <w:rPr>
                <w:sz w:val="21"/>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rPr>
                <w:sz w:val="21"/>
                <w:szCs w:val="21"/>
              </w:rPr>
            </w:pPr>
          </w:p>
        </w:tc>
        <w:tc>
          <w:tcPr>
            <w:tcW w:w="2305" w:type="dxa"/>
          </w:tcPr>
          <w:p>
            <w:pPr>
              <w:widowControl/>
              <w:contextualSpacing/>
              <w:rPr>
                <w:sz w:val="21"/>
                <w:szCs w:val="21"/>
              </w:rPr>
            </w:pPr>
            <w:r>
              <w:rPr>
                <w:sz w:val="21"/>
                <w:szCs w:val="21"/>
              </w:rPr>
              <w:t>售后服务方案 (</w:t>
            </w:r>
            <w:r>
              <w:rPr>
                <w:rFonts w:hint="eastAsia"/>
                <w:sz w:val="21"/>
                <w:szCs w:val="21"/>
              </w:rPr>
              <w:t>10</w:t>
            </w:r>
            <w:r>
              <w:rPr>
                <w:sz w:val="21"/>
                <w:szCs w:val="21"/>
              </w:rPr>
              <w:t>.0分)</w:t>
            </w:r>
          </w:p>
        </w:tc>
        <w:tc>
          <w:tcPr>
            <w:tcW w:w="5070" w:type="dxa"/>
          </w:tcPr>
          <w:p>
            <w:pPr>
              <w:contextualSpacing/>
              <w:rPr>
                <w:sz w:val="21"/>
                <w:szCs w:val="21"/>
              </w:rPr>
            </w:pPr>
            <w:r>
              <w:rPr>
                <w:sz w:val="21"/>
                <w:szCs w:val="21"/>
              </w:rPr>
              <w:t>根据用户需求“</w:t>
            </w:r>
            <w:r>
              <w:rPr>
                <w:rFonts w:hint="eastAsia"/>
                <w:sz w:val="21"/>
                <w:szCs w:val="21"/>
              </w:rPr>
              <w:t>第二章 采购需求：一、项目概况：（</w:t>
            </w:r>
            <w:r>
              <w:rPr>
                <w:sz w:val="21"/>
                <w:szCs w:val="21"/>
              </w:rPr>
              <w:t>1</w:t>
            </w:r>
            <w:r>
              <w:rPr>
                <w:rFonts w:hint="eastAsia"/>
                <w:sz w:val="21"/>
                <w:szCs w:val="21"/>
              </w:rPr>
              <w:t>）本项目方案要求</w:t>
            </w:r>
            <w:r>
              <w:rPr>
                <w:sz w:val="21"/>
                <w:szCs w:val="21"/>
              </w:rPr>
              <w:t>”，对投标人提供的售后服务方案进行评分：</w:t>
            </w:r>
          </w:p>
          <w:p>
            <w:pPr>
              <w:rPr>
                <w:sz w:val="21"/>
                <w:szCs w:val="21"/>
              </w:rPr>
            </w:pPr>
            <w:r>
              <w:rPr>
                <w:rFonts w:hint="eastAsia"/>
                <w:sz w:val="21"/>
                <w:szCs w:val="21"/>
              </w:rPr>
              <w:t>（</w:t>
            </w:r>
            <w:r>
              <w:rPr>
                <w:sz w:val="21"/>
                <w:szCs w:val="21"/>
              </w:rPr>
              <w:t>1</w:t>
            </w:r>
            <w:r>
              <w:rPr>
                <w:rFonts w:hint="eastAsia"/>
                <w:sz w:val="21"/>
                <w:szCs w:val="21"/>
              </w:rPr>
              <w:t>）方案完整详细、针对性强、可行性高，完全符合且优于项目要求，得</w:t>
            </w:r>
            <w:r>
              <w:rPr>
                <w:sz w:val="21"/>
                <w:szCs w:val="21"/>
              </w:rPr>
              <w:t>10</w:t>
            </w:r>
            <w:r>
              <w:rPr>
                <w:rFonts w:hint="eastAsia"/>
                <w:sz w:val="21"/>
                <w:szCs w:val="21"/>
              </w:rPr>
              <w:t>分；</w:t>
            </w:r>
          </w:p>
          <w:p>
            <w:pPr>
              <w:rPr>
                <w:sz w:val="21"/>
                <w:szCs w:val="21"/>
              </w:rPr>
            </w:pPr>
            <w:r>
              <w:rPr>
                <w:rFonts w:hint="eastAsia"/>
                <w:sz w:val="21"/>
                <w:szCs w:val="21"/>
              </w:rPr>
              <w:t>（</w:t>
            </w:r>
            <w:r>
              <w:rPr>
                <w:sz w:val="21"/>
                <w:szCs w:val="21"/>
              </w:rPr>
              <w:t>2</w:t>
            </w:r>
            <w:r>
              <w:rPr>
                <w:rFonts w:hint="eastAsia"/>
                <w:sz w:val="21"/>
                <w:szCs w:val="21"/>
              </w:rPr>
              <w:t>）方案较完整详细、针对性较强、可行性较高，完全符合项目要求，得</w:t>
            </w:r>
            <w:r>
              <w:rPr>
                <w:sz w:val="21"/>
                <w:szCs w:val="21"/>
              </w:rPr>
              <w:t>7</w:t>
            </w:r>
            <w:r>
              <w:rPr>
                <w:rFonts w:hint="eastAsia"/>
                <w:sz w:val="21"/>
                <w:szCs w:val="21"/>
              </w:rPr>
              <w:t>分；</w:t>
            </w:r>
          </w:p>
          <w:p>
            <w:pPr>
              <w:rPr>
                <w:sz w:val="21"/>
                <w:szCs w:val="21"/>
              </w:rPr>
            </w:pPr>
            <w:r>
              <w:rPr>
                <w:rFonts w:hint="eastAsia"/>
                <w:sz w:val="21"/>
                <w:szCs w:val="21"/>
              </w:rPr>
              <w:t>（</w:t>
            </w:r>
            <w:r>
              <w:rPr>
                <w:sz w:val="21"/>
                <w:szCs w:val="21"/>
              </w:rPr>
              <w:t>3</w:t>
            </w:r>
            <w:r>
              <w:rPr>
                <w:rFonts w:hint="eastAsia"/>
                <w:sz w:val="21"/>
                <w:szCs w:val="21"/>
              </w:rPr>
              <w:t>）方案完整性、针对性、可行性一般，不完全符合项目要求，得</w:t>
            </w:r>
            <w:r>
              <w:rPr>
                <w:sz w:val="21"/>
                <w:szCs w:val="21"/>
              </w:rPr>
              <w:t>3</w:t>
            </w:r>
            <w:r>
              <w:rPr>
                <w:rFonts w:hint="eastAsia"/>
                <w:sz w:val="21"/>
                <w:szCs w:val="21"/>
              </w:rPr>
              <w:t>分；</w:t>
            </w:r>
          </w:p>
          <w:p>
            <w:pPr>
              <w:contextualSpacing/>
              <w:rPr>
                <w:sz w:val="21"/>
                <w:szCs w:val="21"/>
              </w:rPr>
            </w:pPr>
            <w:r>
              <w:rPr>
                <w:rFonts w:hint="eastAsia"/>
                <w:sz w:val="21"/>
                <w:szCs w:val="21"/>
              </w:rPr>
              <w:t>（</w:t>
            </w:r>
            <w:r>
              <w:rPr>
                <w:sz w:val="21"/>
                <w:szCs w:val="21"/>
              </w:rPr>
              <w:t>4</w:t>
            </w:r>
            <w:r>
              <w:rPr>
                <w:rFonts w:hint="eastAsia"/>
                <w:sz w:val="21"/>
                <w:szCs w:val="21"/>
              </w:rPr>
              <w:t>）未提供方案或其他情况，不得分。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rPr>
                <w:sz w:val="21"/>
                <w:szCs w:val="21"/>
              </w:rPr>
            </w:pPr>
          </w:p>
        </w:tc>
        <w:tc>
          <w:tcPr>
            <w:tcW w:w="2305" w:type="dxa"/>
          </w:tcPr>
          <w:p>
            <w:pPr>
              <w:widowControl/>
              <w:contextualSpacing/>
              <w:rPr>
                <w:sz w:val="21"/>
                <w:szCs w:val="21"/>
              </w:rPr>
            </w:pPr>
            <w:r>
              <w:rPr>
                <w:sz w:val="21"/>
                <w:szCs w:val="21"/>
              </w:rPr>
              <w:t>相关设备技术支持情况(5.0分)</w:t>
            </w:r>
          </w:p>
        </w:tc>
        <w:tc>
          <w:tcPr>
            <w:tcW w:w="5070" w:type="dxa"/>
          </w:tcPr>
          <w:p>
            <w:pPr>
              <w:contextualSpacing/>
              <w:rPr>
                <w:sz w:val="21"/>
                <w:szCs w:val="21"/>
              </w:rPr>
            </w:pPr>
            <w:r>
              <w:rPr>
                <w:sz w:val="21"/>
                <w:szCs w:val="21"/>
              </w:rPr>
              <w:t>投标人</w:t>
            </w:r>
            <w:r>
              <w:rPr>
                <w:rFonts w:hint="eastAsia"/>
                <w:sz w:val="21"/>
                <w:szCs w:val="21"/>
              </w:rPr>
              <w:t>拟投入</w:t>
            </w:r>
            <w:r>
              <w:rPr>
                <w:sz w:val="21"/>
                <w:szCs w:val="21"/>
              </w:rPr>
              <w:t>本项目的</w:t>
            </w:r>
            <w:r>
              <w:rPr>
                <w:rFonts w:hint="eastAsia"/>
                <w:sz w:val="21"/>
                <w:szCs w:val="21"/>
              </w:rPr>
              <w:t>建库和</w:t>
            </w:r>
            <w:r>
              <w:rPr>
                <w:sz w:val="21"/>
                <w:szCs w:val="21"/>
              </w:rPr>
              <w:t>测序设备，提供设备序列号或购买合同或租赁合同或有效发票或设备资产证明，每提供一台得1分，最高得</w:t>
            </w:r>
            <w:r>
              <w:rPr>
                <w:rFonts w:hint="eastAsia"/>
                <w:sz w:val="21"/>
                <w:szCs w:val="21"/>
              </w:rPr>
              <w:t>5分。</w:t>
            </w:r>
            <w:r>
              <w:rPr>
                <w:sz w:val="21"/>
                <w:szCs w:val="21"/>
              </w:rPr>
              <w:t>提供不完整或未提供不得分。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jc w:val="center"/>
              <w:rPr>
                <w:sz w:val="21"/>
                <w:szCs w:val="21"/>
              </w:rPr>
            </w:pPr>
            <w:r>
              <w:rPr>
                <w:sz w:val="21"/>
                <w:szCs w:val="21"/>
              </w:rPr>
              <w:t>商务部分</w:t>
            </w:r>
          </w:p>
        </w:tc>
        <w:tc>
          <w:tcPr>
            <w:tcW w:w="2305" w:type="dxa"/>
            <w:vAlign w:val="center"/>
          </w:tcPr>
          <w:p>
            <w:pPr>
              <w:widowControl/>
              <w:spacing w:line="276" w:lineRule="auto"/>
              <w:jc w:val="center"/>
              <w:rPr>
                <w:sz w:val="21"/>
                <w:szCs w:val="21"/>
              </w:rPr>
            </w:pPr>
            <w:r>
              <w:rPr>
                <w:rFonts w:hint="eastAsia" w:ascii="宋体" w:hAnsi="宋体"/>
                <w:b/>
                <w:bCs/>
                <w:color w:val="0C0C0C"/>
                <w:sz w:val="21"/>
                <w:szCs w:val="21"/>
              </w:rPr>
              <w:t>业绩（10.0分）</w:t>
            </w:r>
          </w:p>
        </w:tc>
        <w:tc>
          <w:tcPr>
            <w:tcW w:w="5070" w:type="dxa"/>
            <w:vAlign w:val="center"/>
          </w:tcPr>
          <w:p>
            <w:pPr>
              <w:widowControl/>
              <w:spacing w:line="276" w:lineRule="auto"/>
              <w:jc w:val="left"/>
              <w:rPr>
                <w:rFonts w:ascii="宋体" w:hAnsi="宋体"/>
                <w:color w:val="0C0C0C"/>
                <w:sz w:val="21"/>
                <w:szCs w:val="21"/>
              </w:rPr>
            </w:pPr>
            <w:r>
              <w:rPr>
                <w:rFonts w:hint="eastAsia" w:ascii="宋体" w:hAnsi="宋体"/>
                <w:color w:val="0C0C0C"/>
                <w:sz w:val="21"/>
                <w:szCs w:val="21"/>
              </w:rPr>
              <w:t>投标人自2020年1月1日以来（以合同签订时间为准）同类项目业绩，每有一个有效的业绩合同得1分，本项最多得10分。</w:t>
            </w:r>
          </w:p>
          <w:p>
            <w:pPr>
              <w:widowControl/>
              <w:spacing w:line="276" w:lineRule="auto"/>
              <w:jc w:val="left"/>
              <w:rPr>
                <w:rFonts w:ascii="宋体" w:hAnsi="宋体" w:cs="仿宋_GB2312"/>
                <w:sz w:val="21"/>
                <w:szCs w:val="21"/>
              </w:rPr>
            </w:pPr>
            <w:r>
              <w:rPr>
                <w:rFonts w:hint="eastAsia" w:ascii="宋体" w:hAnsi="宋体" w:cs="仿宋_GB2312"/>
                <w:sz w:val="21"/>
                <w:szCs w:val="21"/>
              </w:rPr>
              <w:t>注：（1）同类项目指</w:t>
            </w:r>
            <w:r>
              <w:rPr>
                <w:sz w:val="21"/>
                <w:szCs w:val="21"/>
              </w:rPr>
              <w:t>同类型样本测序及分析服务</w:t>
            </w:r>
            <w:r>
              <w:rPr>
                <w:rFonts w:hint="eastAsia" w:ascii="宋体" w:hAnsi="宋体" w:cs="仿宋_GB2312"/>
                <w:sz w:val="21"/>
                <w:szCs w:val="21"/>
              </w:rPr>
              <w:t>；</w:t>
            </w:r>
          </w:p>
          <w:p>
            <w:pPr>
              <w:widowControl/>
              <w:spacing w:line="276" w:lineRule="auto"/>
              <w:jc w:val="left"/>
              <w:rPr>
                <w:sz w:val="21"/>
                <w:szCs w:val="21"/>
              </w:rPr>
            </w:pPr>
            <w:r>
              <w:rPr>
                <w:rFonts w:hint="eastAsia" w:ascii="宋体" w:hAnsi="宋体" w:cs="仿宋_GB2312"/>
                <w:sz w:val="21"/>
                <w:szCs w:val="21"/>
              </w:rPr>
              <w:t>（2）提供有效的合同关键页</w:t>
            </w:r>
            <w:r>
              <w:rPr>
                <w:sz w:val="21"/>
                <w:szCs w:val="21"/>
              </w:rPr>
              <w:t>（合同关键页必须有用户单位名称、合同项目名称、合同标的主要采购内容、签订合同双方的落款盖章、合同签订日期），以合同的签订日期为准，不提供或专家无法认定的不得分。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jc w:val="center"/>
              <w:rPr>
                <w:sz w:val="21"/>
                <w:szCs w:val="21"/>
              </w:rPr>
            </w:pPr>
          </w:p>
        </w:tc>
        <w:tc>
          <w:tcPr>
            <w:tcW w:w="2305" w:type="dxa"/>
            <w:vAlign w:val="center"/>
          </w:tcPr>
          <w:p>
            <w:pPr>
              <w:widowControl/>
              <w:spacing w:line="276" w:lineRule="auto"/>
              <w:jc w:val="center"/>
              <w:rPr>
                <w:color w:val="0000FF"/>
                <w:sz w:val="21"/>
                <w:szCs w:val="21"/>
              </w:rPr>
            </w:pPr>
            <w:r>
              <w:rPr>
                <w:rFonts w:hint="eastAsia" w:ascii="宋体" w:hAnsi="宋体"/>
                <w:b/>
                <w:bCs/>
                <w:color w:val="0C0C0C"/>
                <w:sz w:val="21"/>
                <w:szCs w:val="21"/>
              </w:rPr>
              <w:t>投标人认证 (</w:t>
            </w:r>
            <w:r>
              <w:rPr>
                <w:rFonts w:ascii="宋体" w:hAnsi="宋体"/>
                <w:b/>
                <w:bCs/>
                <w:color w:val="0C0C0C"/>
                <w:sz w:val="21"/>
                <w:szCs w:val="21"/>
              </w:rPr>
              <w:t>10</w:t>
            </w:r>
            <w:r>
              <w:rPr>
                <w:rFonts w:hint="eastAsia" w:ascii="宋体" w:hAnsi="宋体"/>
                <w:b/>
                <w:bCs/>
                <w:color w:val="0C0C0C"/>
                <w:sz w:val="21"/>
                <w:szCs w:val="21"/>
              </w:rPr>
              <w:t>.0分</w:t>
            </w:r>
            <w:r>
              <w:rPr>
                <w:rFonts w:ascii="宋体" w:hAnsi="宋体"/>
                <w:b/>
                <w:bCs/>
                <w:color w:val="0C0C0C"/>
                <w:sz w:val="21"/>
                <w:szCs w:val="21"/>
              </w:rPr>
              <w:t>)</w:t>
            </w:r>
          </w:p>
        </w:tc>
        <w:tc>
          <w:tcPr>
            <w:tcW w:w="5070" w:type="dxa"/>
            <w:vAlign w:val="center"/>
          </w:tcPr>
          <w:p>
            <w:pPr>
              <w:pStyle w:val="8"/>
              <w:rPr>
                <w:rFonts w:ascii="宋体" w:hAnsi="宋体"/>
                <w:color w:val="0C0C0C"/>
                <w:sz w:val="21"/>
                <w:szCs w:val="21"/>
              </w:rPr>
            </w:pPr>
            <w:r>
              <w:rPr>
                <w:rFonts w:hint="eastAsia" w:ascii="宋体" w:hAnsi="宋体"/>
                <w:sz w:val="21"/>
                <w:szCs w:val="21"/>
              </w:rPr>
              <w:t>(1)投标人具有</w:t>
            </w:r>
            <w:r>
              <w:rPr>
                <w:rFonts w:hint="eastAsia"/>
                <w:sz w:val="21"/>
                <w:szCs w:val="21"/>
              </w:rPr>
              <w:t>中国合格评定国家认可委员会实验室认可证书</w:t>
            </w:r>
            <w:r>
              <w:rPr>
                <w:rStyle w:val="29"/>
                <w:rFonts w:hint="eastAsia"/>
                <w:sz w:val="21"/>
                <w:szCs w:val="21"/>
              </w:rPr>
              <w:t>，</w:t>
            </w:r>
            <w:r>
              <w:rPr>
                <w:rFonts w:hint="eastAsia" w:ascii="宋体" w:hAnsi="宋体"/>
                <w:sz w:val="21"/>
                <w:szCs w:val="21"/>
              </w:rPr>
              <w:t>得6分</w:t>
            </w:r>
            <w:r>
              <w:rPr>
                <w:rFonts w:hint="eastAsia" w:ascii="宋体" w:hAnsi="宋体"/>
                <w:color w:val="0C0C0C"/>
                <w:sz w:val="21"/>
                <w:szCs w:val="21"/>
              </w:rPr>
              <w:t>；</w:t>
            </w:r>
          </w:p>
          <w:p>
            <w:pPr>
              <w:pStyle w:val="8"/>
              <w:rPr>
                <w:rFonts w:ascii="宋体" w:hAnsi="宋体"/>
                <w:color w:val="0C0C0C"/>
                <w:sz w:val="21"/>
                <w:szCs w:val="21"/>
              </w:rPr>
            </w:pPr>
            <w:r>
              <w:rPr>
                <w:rFonts w:hint="eastAsia" w:ascii="宋体" w:hAnsi="宋体"/>
                <w:color w:val="0C0C0C"/>
                <w:sz w:val="21"/>
                <w:szCs w:val="21"/>
              </w:rPr>
              <w:t>(2)投标人具有I</w:t>
            </w:r>
            <w:r>
              <w:rPr>
                <w:rFonts w:ascii="宋体" w:hAnsi="宋体"/>
                <w:color w:val="0C0C0C"/>
                <w:sz w:val="21"/>
                <w:szCs w:val="21"/>
              </w:rPr>
              <w:t>SO9001管理体系认证证书</w:t>
            </w:r>
            <w:r>
              <w:rPr>
                <w:rFonts w:hint="eastAsia" w:ascii="宋体" w:hAnsi="宋体"/>
                <w:color w:val="0C0C0C"/>
                <w:sz w:val="21"/>
                <w:szCs w:val="21"/>
              </w:rPr>
              <w:t>，</w:t>
            </w:r>
            <w:r>
              <w:rPr>
                <w:rFonts w:ascii="宋体" w:hAnsi="宋体"/>
                <w:color w:val="0C0C0C"/>
                <w:sz w:val="21"/>
                <w:szCs w:val="21"/>
              </w:rPr>
              <w:t>得2分</w:t>
            </w:r>
            <w:r>
              <w:rPr>
                <w:rFonts w:hint="eastAsia" w:ascii="宋体" w:hAnsi="宋体"/>
                <w:color w:val="0C0C0C"/>
                <w:sz w:val="21"/>
                <w:szCs w:val="21"/>
              </w:rPr>
              <w:t>；</w:t>
            </w:r>
          </w:p>
          <w:p>
            <w:pPr>
              <w:pStyle w:val="8"/>
              <w:rPr>
                <w:rFonts w:ascii="宋体" w:hAnsi="宋体"/>
                <w:color w:val="0C0C0C"/>
                <w:sz w:val="21"/>
                <w:szCs w:val="21"/>
              </w:rPr>
            </w:pPr>
            <w:r>
              <w:rPr>
                <w:rFonts w:hint="eastAsia" w:ascii="宋体" w:hAnsi="宋体"/>
                <w:color w:val="0C0C0C"/>
                <w:sz w:val="21"/>
                <w:szCs w:val="21"/>
              </w:rPr>
              <w:t>（3）投标人具有C</w:t>
            </w:r>
            <w:r>
              <w:rPr>
                <w:rFonts w:ascii="宋体" w:hAnsi="宋体"/>
                <w:color w:val="0C0C0C"/>
                <w:sz w:val="21"/>
                <w:szCs w:val="21"/>
              </w:rPr>
              <w:t>SP认证证书</w:t>
            </w:r>
            <w:r>
              <w:rPr>
                <w:rFonts w:hint="eastAsia" w:ascii="宋体" w:hAnsi="宋体"/>
                <w:color w:val="0C0C0C"/>
                <w:sz w:val="21"/>
                <w:szCs w:val="21"/>
              </w:rPr>
              <w:t>，</w:t>
            </w:r>
            <w:r>
              <w:rPr>
                <w:rFonts w:ascii="宋体" w:hAnsi="宋体"/>
                <w:color w:val="0C0C0C"/>
                <w:sz w:val="21"/>
                <w:szCs w:val="21"/>
              </w:rPr>
              <w:t>得2分</w:t>
            </w:r>
            <w:r>
              <w:rPr>
                <w:rFonts w:hint="eastAsia" w:ascii="宋体" w:hAnsi="宋体"/>
                <w:color w:val="0C0C0C"/>
                <w:sz w:val="21"/>
                <w:szCs w:val="21"/>
              </w:rPr>
              <w:t xml:space="preserve">。 </w:t>
            </w:r>
          </w:p>
          <w:p>
            <w:pPr>
              <w:pStyle w:val="8"/>
              <w:rPr>
                <w:rFonts w:ascii="宋体" w:hAnsi="宋体" w:cs="宋体"/>
                <w:color w:val="0000FF"/>
                <w:sz w:val="21"/>
                <w:szCs w:val="21"/>
              </w:rPr>
            </w:pPr>
            <w:r>
              <w:rPr>
                <w:rFonts w:hint="eastAsia" w:ascii="宋体" w:hAnsi="宋体"/>
                <w:color w:val="0C0C0C"/>
                <w:sz w:val="21"/>
                <w:szCs w:val="21"/>
              </w:rPr>
              <w:t>注：提供相关证书扫描件。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rPr>
                <w:sz w:val="21"/>
                <w:szCs w:val="21"/>
              </w:rPr>
            </w:pPr>
          </w:p>
        </w:tc>
        <w:tc>
          <w:tcPr>
            <w:tcW w:w="2305" w:type="dxa"/>
            <w:vAlign w:val="center"/>
          </w:tcPr>
          <w:p>
            <w:pPr>
              <w:widowControl/>
              <w:spacing w:line="276" w:lineRule="auto"/>
              <w:jc w:val="center"/>
              <w:rPr>
                <w:sz w:val="21"/>
                <w:szCs w:val="21"/>
              </w:rPr>
            </w:pPr>
            <w:r>
              <w:rPr>
                <w:rFonts w:hint="eastAsia" w:ascii="宋体" w:hAnsi="宋体"/>
                <w:b/>
                <w:bCs/>
                <w:color w:val="0C0C0C"/>
                <w:sz w:val="21"/>
                <w:szCs w:val="21"/>
              </w:rPr>
              <w:t>成果产出能力 (10.0分</w:t>
            </w:r>
            <w:r>
              <w:rPr>
                <w:rFonts w:ascii="宋体" w:hAnsi="宋体"/>
                <w:b/>
                <w:bCs/>
                <w:color w:val="0C0C0C"/>
                <w:sz w:val="21"/>
                <w:szCs w:val="21"/>
              </w:rPr>
              <w:t xml:space="preserve">) </w:t>
            </w:r>
          </w:p>
        </w:tc>
        <w:tc>
          <w:tcPr>
            <w:tcW w:w="5070" w:type="dxa"/>
            <w:vAlign w:val="center"/>
          </w:tcPr>
          <w:p>
            <w:pPr>
              <w:pStyle w:val="8"/>
              <w:rPr>
                <w:rFonts w:ascii="宋体" w:hAnsi="宋体"/>
                <w:sz w:val="21"/>
                <w:szCs w:val="21"/>
              </w:rPr>
            </w:pPr>
            <w:r>
              <w:rPr>
                <w:rFonts w:hint="eastAsia" w:ascii="宋体" w:hAnsi="宋体"/>
                <w:sz w:val="21"/>
                <w:szCs w:val="21"/>
              </w:rPr>
              <w:t>投标人支持客户发表的单细胞文章，以影响因子</w:t>
            </w:r>
            <w:r>
              <w:rPr>
                <w:rFonts w:ascii="宋体" w:hAnsi="宋体"/>
                <w:sz w:val="21"/>
                <w:szCs w:val="21"/>
              </w:rPr>
              <w:t>&gt;20</w:t>
            </w:r>
            <w:r>
              <w:rPr>
                <w:rFonts w:hint="eastAsia" w:ascii="宋体" w:hAnsi="宋体"/>
                <w:sz w:val="21"/>
                <w:szCs w:val="21"/>
              </w:rPr>
              <w:t>分</w:t>
            </w:r>
            <w:r>
              <w:rPr>
                <w:sz w:val="21"/>
                <w:szCs w:val="21"/>
              </w:rPr>
              <w:t>或者同等级别的期刊上</w:t>
            </w:r>
            <w:r>
              <w:rPr>
                <w:rFonts w:hint="eastAsia" w:ascii="宋体" w:hAnsi="宋体"/>
                <w:sz w:val="21"/>
                <w:szCs w:val="21"/>
              </w:rPr>
              <w:t>的文章为准，每提供</w:t>
            </w:r>
            <w:r>
              <w:rPr>
                <w:rFonts w:ascii="宋体" w:hAnsi="宋体"/>
                <w:sz w:val="21"/>
                <w:szCs w:val="21"/>
              </w:rPr>
              <w:t>1</w:t>
            </w:r>
            <w:r>
              <w:rPr>
                <w:rFonts w:hint="eastAsia" w:ascii="宋体" w:hAnsi="宋体"/>
                <w:sz w:val="21"/>
                <w:szCs w:val="21"/>
              </w:rPr>
              <w:t>篇满足条件的文章，得1分，最高得10分。</w:t>
            </w:r>
          </w:p>
          <w:p>
            <w:pPr>
              <w:pStyle w:val="8"/>
              <w:rPr>
                <w:sz w:val="21"/>
                <w:szCs w:val="21"/>
              </w:rPr>
            </w:pPr>
            <w:r>
              <w:rPr>
                <w:rFonts w:hint="eastAsia"/>
                <w:sz w:val="21"/>
                <w:szCs w:val="21"/>
              </w:rPr>
              <w:t>注：（1）投标人须提</w:t>
            </w:r>
            <w:r>
              <w:rPr>
                <w:rFonts w:hint="eastAsia"/>
                <w:color w:val="0D0D0D" w:themeColor="text1" w:themeTint="F2"/>
                <w:sz w:val="21"/>
                <w:szCs w:val="21"/>
                <w14:textFill>
                  <w14:solidFill>
                    <w14:schemeClr w14:val="tx1">
                      <w14:lumMod w14:val="95000"/>
                      <w14:lumOff w14:val="5000"/>
                    </w14:schemeClr>
                  </w14:solidFill>
                </w14:textFill>
              </w:rPr>
              <w:t>供文章原文，或JC</w:t>
            </w:r>
            <w:r>
              <w:rPr>
                <w:rFonts w:hint="eastAsia"/>
                <w:sz w:val="21"/>
                <w:szCs w:val="21"/>
              </w:rPr>
              <w:t>R或SCI或MedSCI官网查询的截图；</w:t>
            </w:r>
            <w:r>
              <w:rPr>
                <w:sz w:val="21"/>
                <w:szCs w:val="21"/>
              </w:rPr>
              <w:t>或</w:t>
            </w:r>
            <w:r>
              <w:rPr>
                <w:rFonts w:hint="eastAsia"/>
                <w:sz w:val="21"/>
                <w:szCs w:val="21"/>
              </w:rPr>
              <w:t>提供期刊的封面、所在期刊具体刊号、发表文章的首页。证明材料</w:t>
            </w:r>
            <w:r>
              <w:rPr>
                <w:rFonts w:hint="eastAsia" w:ascii="宋体" w:hAnsi="宋体"/>
                <w:sz w:val="21"/>
                <w:szCs w:val="21"/>
              </w:rPr>
              <w:t>须体现投标单位公司名称。</w:t>
            </w:r>
          </w:p>
          <w:p>
            <w:pPr>
              <w:pStyle w:val="8"/>
              <w:rPr>
                <w:rFonts w:ascii="宋体" w:hAnsi="宋体"/>
                <w:color w:val="0C0C0C"/>
                <w:sz w:val="21"/>
                <w:szCs w:val="21"/>
              </w:rPr>
            </w:pPr>
            <w:r>
              <w:rPr>
                <w:rFonts w:hint="eastAsia"/>
                <w:sz w:val="21"/>
                <w:szCs w:val="21"/>
              </w:rPr>
              <w:t>（</w:t>
            </w:r>
            <w:r>
              <w:rPr>
                <w:sz w:val="21"/>
                <w:szCs w:val="21"/>
              </w:rPr>
              <w:t>2</w:t>
            </w:r>
            <w:r>
              <w:rPr>
                <w:rFonts w:hint="eastAsia"/>
                <w:sz w:val="21"/>
                <w:szCs w:val="21"/>
              </w:rPr>
              <w:t>）不属于（1）规定的文章类型，不予计分。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rPr>
                <w:sz w:val="21"/>
                <w:szCs w:val="21"/>
              </w:rPr>
            </w:pPr>
          </w:p>
        </w:tc>
        <w:tc>
          <w:tcPr>
            <w:tcW w:w="2305" w:type="dxa"/>
            <w:vAlign w:val="center"/>
          </w:tcPr>
          <w:p>
            <w:pPr>
              <w:widowControl/>
              <w:spacing w:line="276" w:lineRule="auto"/>
              <w:jc w:val="center"/>
              <w:rPr>
                <w:sz w:val="21"/>
                <w:szCs w:val="21"/>
              </w:rPr>
            </w:pPr>
            <w:r>
              <w:rPr>
                <w:rFonts w:hint="eastAsia" w:ascii="宋体" w:hAnsi="宋体"/>
                <w:b/>
                <w:bCs/>
                <w:color w:val="0C0C0C"/>
                <w:sz w:val="21"/>
                <w:szCs w:val="21"/>
              </w:rPr>
              <w:t>服务经验 (5.0分</w:t>
            </w:r>
            <w:r>
              <w:rPr>
                <w:rFonts w:ascii="宋体" w:hAnsi="宋体"/>
                <w:b/>
                <w:bCs/>
                <w:color w:val="0C0C0C"/>
                <w:sz w:val="21"/>
                <w:szCs w:val="21"/>
              </w:rPr>
              <w:t xml:space="preserve">) </w:t>
            </w:r>
          </w:p>
        </w:tc>
        <w:tc>
          <w:tcPr>
            <w:tcW w:w="5070" w:type="dxa"/>
            <w:vAlign w:val="center"/>
          </w:tcPr>
          <w:p>
            <w:pPr>
              <w:spacing w:line="276" w:lineRule="auto"/>
              <w:contextualSpacing/>
              <w:rPr>
                <w:rFonts w:ascii="宋体" w:hAnsi="宋体" w:cs="新宋体"/>
                <w:sz w:val="21"/>
                <w:szCs w:val="21"/>
              </w:rPr>
            </w:pPr>
            <w:r>
              <w:rPr>
                <w:rFonts w:hint="eastAsia" w:ascii="宋体" w:hAnsi="宋体"/>
                <w:color w:val="0C0C0C"/>
                <w:sz w:val="21"/>
                <w:szCs w:val="21"/>
              </w:rPr>
              <w:t>从实验到数据分析的整个流程，投标人提供可独立完成的承诺函，得5分，未提供以上内容承诺函的不得分。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jc w:val="center"/>
              <w:rPr>
                <w:sz w:val="21"/>
                <w:szCs w:val="21"/>
              </w:rPr>
            </w:pPr>
            <w:r>
              <w:rPr>
                <w:sz w:val="21"/>
                <w:szCs w:val="21"/>
              </w:rPr>
              <w:t>投标报价</w:t>
            </w:r>
          </w:p>
        </w:tc>
        <w:tc>
          <w:tcPr>
            <w:tcW w:w="2305" w:type="dxa"/>
          </w:tcPr>
          <w:p>
            <w:pPr>
              <w:jc w:val="left"/>
              <w:rPr>
                <w:sz w:val="21"/>
                <w:szCs w:val="21"/>
              </w:rPr>
            </w:pPr>
            <w:r>
              <w:rPr>
                <w:sz w:val="21"/>
                <w:szCs w:val="21"/>
              </w:rPr>
              <w:t>投标报价得分 (10.0分)</w:t>
            </w:r>
          </w:p>
        </w:tc>
        <w:tc>
          <w:tcPr>
            <w:tcW w:w="5070" w:type="dxa"/>
          </w:tcPr>
          <w:p>
            <w:pPr>
              <w:jc w:val="left"/>
              <w:rPr>
                <w:sz w:val="21"/>
                <w:szCs w:val="21"/>
              </w:rPr>
            </w:pPr>
            <w:r>
              <w:rPr>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17"/>
        <w:tabs>
          <w:tab w:val="left" w:pos="-166"/>
        </w:tabs>
        <w:kinsoku w:val="0"/>
        <w:wordWrap w:val="0"/>
        <w:topLinePunct/>
        <w:ind w:left="498" w:leftChars="150" w:firstLine="440" w:firstLineChars="190"/>
        <w:rPr>
          <w:rFonts w:hint="eastAsia" w:ascii="仿宋" w:hAnsi="仿宋" w:eastAsia="仿宋" w:cs="仿宋"/>
          <w:sz w:val="18"/>
        </w:rPr>
      </w:pPr>
    </w:p>
    <w:p>
      <w:pPr>
        <w:kinsoku w:val="0"/>
        <w:wordWrap w:val="0"/>
        <w:topLinePunct/>
        <w:rPr>
          <w:rFonts w:hint="eastAsia" w:ascii="仿宋" w:hAnsi="仿宋" w:eastAsia="仿宋" w:cs="仿宋"/>
          <w:b/>
          <w:sz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六、开标、评标、定标</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招标人可以接受投标货物中的任何一项、几项或全部，并有权在授予合同时改变订货的数量。</w:t>
      </w:r>
    </w:p>
    <w:p>
      <w:pPr>
        <w:kinsoku w:val="0"/>
        <w:wordWrap w:val="0"/>
        <w:topLinePunct/>
        <w:ind w:left="851" w:hanging="851"/>
        <w:rPr>
          <w:rFonts w:hint="eastAsia" w:ascii="仿宋" w:hAnsi="仿宋" w:eastAsia="仿宋" w:cs="仿宋"/>
          <w:b/>
          <w:sz w:val="21"/>
          <w:szCs w:val="21"/>
        </w:rPr>
      </w:pPr>
      <w:r>
        <w:rPr>
          <w:rFonts w:hint="eastAsia" w:ascii="仿宋" w:hAnsi="仿宋" w:eastAsia="仿宋" w:cs="仿宋"/>
          <w:b/>
          <w:sz w:val="21"/>
          <w:szCs w:val="21"/>
        </w:rPr>
        <w:t>七、评标过程的保密性</w:t>
      </w:r>
    </w:p>
    <w:p>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在评标过程中，如果投标人试图在投标文件审查、澄清、比较及授予合同方面向买方施加任何影响，其投标将被拒绝。</w:t>
      </w:r>
    </w:p>
    <w:p>
      <w:pPr>
        <w:kinsoku w:val="0"/>
        <w:wordWrap w:val="0"/>
        <w:topLinePunct/>
        <w:jc w:val="center"/>
        <w:rPr>
          <w:rFonts w:hint="eastAsia" w:ascii="仿宋" w:hAnsi="仿宋" w:eastAsia="仿宋" w:cs="仿宋"/>
          <w:b/>
          <w:sz w:val="32"/>
        </w:rPr>
      </w:pPr>
      <w:r>
        <w:rPr>
          <w:rFonts w:hint="eastAsia" w:ascii="仿宋" w:hAnsi="仿宋" w:eastAsia="仿宋" w:cs="仿宋"/>
          <w:b/>
          <w:sz w:val="32"/>
        </w:rPr>
        <w:t>第二部分  技术服务内容、技术指标要求等</w:t>
      </w:r>
    </w:p>
    <w:p>
      <w:pPr>
        <w:pStyle w:val="86"/>
        <w:numPr>
          <w:ilvl w:val="0"/>
          <w:numId w:val="0"/>
        </w:numPr>
        <w:spacing w:line="360" w:lineRule="auto"/>
        <w:ind w:firstLine="584"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一．项目名称：汕头大学医学院皮肤样本构建10x单细胞核ATAC</w:t>
      </w:r>
      <w:r>
        <w:rPr>
          <w:rFonts w:hint="eastAsia" w:ascii="仿宋" w:hAnsi="仿宋" w:eastAsia="仿宋" w:cs="仿宋"/>
          <w:bCs/>
          <w:sz w:val="24"/>
          <w:szCs w:val="24"/>
          <w:lang w:val="en-US" w:eastAsia="zh-CN"/>
        </w:rPr>
        <w:t>和表达谱</w:t>
      </w:r>
      <w:r>
        <w:rPr>
          <w:rFonts w:hint="eastAsia" w:ascii="仿宋" w:hAnsi="仿宋" w:eastAsia="仿宋" w:cs="仿宋"/>
          <w:bCs/>
          <w:sz w:val="24"/>
          <w:szCs w:val="24"/>
        </w:rPr>
        <w:t>测序</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招标项目</w:t>
      </w:r>
    </w:p>
    <w:p>
      <w:pPr>
        <w:pStyle w:val="86"/>
        <w:numPr>
          <w:ilvl w:val="0"/>
          <w:numId w:val="0"/>
        </w:numPr>
        <w:spacing w:line="360" w:lineRule="auto"/>
        <w:rPr>
          <w:rFonts w:hint="eastAsia" w:ascii="仿宋" w:hAnsi="仿宋" w:eastAsia="仿宋" w:cs="仿宋"/>
          <w:sz w:val="21"/>
          <w:szCs w:val="21"/>
          <w:lang w:val="en-US" w:eastAsia="zh-CN"/>
        </w:rPr>
      </w:pPr>
    </w:p>
    <w:p>
      <w:pPr>
        <w:kinsoku w:val="0"/>
        <w:topLinePunct/>
        <w:rPr>
          <w:rFonts w:hint="eastAsia" w:ascii="仿宋" w:hAnsi="仿宋" w:eastAsia="仿宋" w:cs="仿宋"/>
          <w:bCs/>
          <w:sz w:val="24"/>
          <w:szCs w:val="24"/>
        </w:rPr>
      </w:pPr>
    </w:p>
    <w:p>
      <w:pPr>
        <w:kinsoku w:val="0"/>
        <w:topLinePunct/>
        <w:ind w:firstLine="584" w:firstLineChars="200"/>
        <w:rPr>
          <w:rFonts w:hint="eastAsia" w:ascii="仿宋" w:hAnsi="仿宋" w:eastAsia="仿宋" w:cs="仿宋"/>
          <w:bCs/>
          <w:sz w:val="24"/>
          <w:szCs w:val="24"/>
        </w:rPr>
      </w:pPr>
      <w:r>
        <w:rPr>
          <w:rFonts w:hint="eastAsia" w:ascii="仿宋" w:hAnsi="仿宋" w:eastAsia="仿宋" w:cs="仿宋"/>
          <w:bCs/>
          <w:sz w:val="24"/>
          <w:szCs w:val="24"/>
          <w:lang w:eastAsia="zh-CN"/>
        </w:rPr>
        <w:t>总</w:t>
      </w:r>
      <w:r>
        <w:rPr>
          <w:rFonts w:hint="eastAsia" w:ascii="仿宋" w:hAnsi="仿宋" w:eastAsia="仿宋" w:cs="仿宋"/>
          <w:bCs/>
          <w:sz w:val="24"/>
          <w:szCs w:val="24"/>
        </w:rPr>
        <w:t>预算：</w:t>
      </w:r>
      <w:r>
        <w:rPr>
          <w:rFonts w:hint="eastAsia" w:ascii="仿宋" w:hAnsi="仿宋" w:eastAsia="仿宋" w:cs="仿宋"/>
          <w:bCs/>
          <w:sz w:val="24"/>
          <w:szCs w:val="24"/>
          <w:lang w:val="en-US" w:eastAsia="zh-CN"/>
        </w:rPr>
        <w:t>252000</w:t>
      </w:r>
      <w:r>
        <w:rPr>
          <w:rFonts w:hint="eastAsia" w:ascii="仿宋" w:hAnsi="仿宋" w:eastAsia="仿宋" w:cs="仿宋"/>
          <w:bCs/>
          <w:sz w:val="24"/>
          <w:szCs w:val="24"/>
        </w:rPr>
        <w:t>元</w:t>
      </w:r>
    </w:p>
    <w:p>
      <w:pPr>
        <w:autoSpaceDE w:val="0"/>
        <w:autoSpaceDN w:val="0"/>
        <w:spacing w:line="360" w:lineRule="auto"/>
        <w:rPr>
          <w:rFonts w:hint="eastAsia" w:ascii="仿宋" w:hAnsi="仿宋" w:eastAsia="仿宋" w:cs="仿宋"/>
          <w:b/>
          <w:bCs/>
          <w:sz w:val="24"/>
          <w:szCs w:val="24"/>
          <w:lang w:val="zh-CN"/>
        </w:rPr>
      </w:pPr>
      <w:r>
        <w:rPr>
          <w:rFonts w:hint="eastAsia" w:ascii="仿宋" w:hAnsi="仿宋" w:eastAsia="仿宋" w:cs="仿宋"/>
          <w:b/>
          <w:bCs/>
          <w:sz w:val="24"/>
          <w:szCs w:val="24"/>
          <w:lang w:val="zh-CN"/>
        </w:rPr>
        <w:t>二、采购内容：</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3"/>
        <w:gridCol w:w="1172"/>
        <w:gridCol w:w="205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服务内容</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数量</w:t>
            </w:r>
          </w:p>
        </w:tc>
        <w:tc>
          <w:tcPr>
            <w:tcW w:w="101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单位</w:t>
            </w:r>
          </w:p>
        </w:tc>
        <w:tc>
          <w:tcPr>
            <w:tcW w:w="123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5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1"/>
                <w:szCs w:val="21"/>
                <w:lang w:val="en-US" w:eastAsia="zh-CN"/>
              </w:rPr>
            </w:pPr>
            <w:r>
              <w:rPr>
                <w:rFonts w:hint="eastAsia" w:ascii="仿宋" w:hAnsi="仿宋" w:eastAsia="仿宋" w:cs="仿宋"/>
                <w:bCs/>
                <w:sz w:val="21"/>
                <w:szCs w:val="21"/>
              </w:rPr>
              <w:t>皮肤样本构建10x单细胞核ATAC</w:t>
            </w:r>
            <w:r>
              <w:rPr>
                <w:rFonts w:hint="eastAsia" w:ascii="仿宋" w:hAnsi="仿宋" w:eastAsia="仿宋" w:cs="仿宋"/>
                <w:bCs/>
                <w:sz w:val="21"/>
                <w:szCs w:val="21"/>
                <w:lang w:val="en-US" w:eastAsia="zh-CN"/>
              </w:rPr>
              <w:t>和表达谱</w:t>
            </w:r>
            <w:r>
              <w:rPr>
                <w:rFonts w:hint="eastAsia" w:ascii="仿宋" w:hAnsi="仿宋" w:eastAsia="仿宋" w:cs="仿宋"/>
                <w:bCs/>
                <w:sz w:val="21"/>
                <w:szCs w:val="21"/>
              </w:rPr>
              <w:t>测序</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01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1"/>
                <w:szCs w:val="21"/>
                <w:lang w:val="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CN"/>
              </w:rPr>
              <w:t>元/人份</w:t>
            </w:r>
          </w:p>
        </w:tc>
        <w:tc>
          <w:tcPr>
            <w:tcW w:w="1239" w:type="pct"/>
            <w:tcBorders>
              <w:left w:val="single" w:color="auto" w:sz="4" w:space="0"/>
              <w:right w:val="single" w:color="auto" w:sz="4" w:space="0"/>
            </w:tcBorders>
            <w:vAlign w:val="center"/>
          </w:tcPr>
          <w:p>
            <w:pPr>
              <w:autoSpaceDE w:val="0"/>
              <w:autoSpaceDN w:val="0"/>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252000</w:t>
            </w:r>
          </w:p>
        </w:tc>
      </w:tr>
    </w:tbl>
    <w:p>
      <w:pPr>
        <w:spacing w:line="360" w:lineRule="auto"/>
        <w:rPr>
          <w:rFonts w:hint="eastAsia" w:ascii="仿宋" w:hAnsi="仿宋" w:eastAsia="仿宋" w:cs="仿宋"/>
          <w:sz w:val="24"/>
          <w:szCs w:val="24"/>
        </w:rPr>
      </w:pPr>
    </w:p>
    <w:p>
      <w:pPr>
        <w:autoSpaceDE w:val="0"/>
        <w:autoSpaceDN w:val="0"/>
        <w:spacing w:line="360" w:lineRule="auto"/>
        <w:rPr>
          <w:rFonts w:hint="eastAsia" w:ascii="仿宋" w:hAnsi="仿宋" w:eastAsia="仿宋" w:cs="仿宋"/>
          <w:b/>
          <w:bCs/>
          <w:sz w:val="24"/>
          <w:szCs w:val="24"/>
          <w:lang w:val="zh-CN"/>
        </w:rPr>
      </w:pPr>
      <w:r>
        <w:rPr>
          <w:rFonts w:hint="eastAsia" w:ascii="仿宋" w:hAnsi="仿宋" w:eastAsia="仿宋" w:cs="仿宋"/>
          <w:b/>
          <w:bCs/>
          <w:sz w:val="24"/>
          <w:szCs w:val="24"/>
          <w:lang w:val="zh-CN"/>
        </w:rPr>
        <w:t>三、服务要求：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479"/>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r>
              <w:rPr>
                <w:sz w:val="21"/>
                <w:szCs w:val="21"/>
              </w:rPr>
              <w:t>参数性质</w:t>
            </w:r>
          </w:p>
        </w:tc>
        <w:tc>
          <w:tcPr>
            <w:tcW w:w="479" w:type="dxa"/>
          </w:tcPr>
          <w:p>
            <w:pPr>
              <w:rPr>
                <w:sz w:val="21"/>
                <w:szCs w:val="21"/>
              </w:rPr>
            </w:pPr>
            <w:r>
              <w:rPr>
                <w:sz w:val="21"/>
                <w:szCs w:val="21"/>
              </w:rPr>
              <w:t>序号</w:t>
            </w:r>
          </w:p>
        </w:tc>
        <w:tc>
          <w:tcPr>
            <w:tcW w:w="6994" w:type="dxa"/>
          </w:tcPr>
          <w:p>
            <w:pPr>
              <w:rPr>
                <w:sz w:val="21"/>
                <w:szCs w:val="21"/>
              </w:rPr>
            </w:pPr>
            <w:r>
              <w:rPr>
                <w:sz w:val="21"/>
                <w:szCs w:val="21"/>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widowControl/>
              <w:rPr>
                <w:rFonts w:ascii="宋体" w:hAnsi="宋体" w:eastAsia="宋体" w:cs="宋体"/>
                <w:color w:val="000000"/>
                <w:kern w:val="0"/>
                <w:sz w:val="21"/>
                <w:szCs w:val="21"/>
              </w:rPr>
            </w:pPr>
            <w:r>
              <w:rPr>
                <w:rFonts w:hint="eastAsia"/>
                <w:color w:val="000000"/>
                <w:sz w:val="21"/>
                <w:szCs w:val="21"/>
              </w:rPr>
              <w:t>一、质检和实验要求：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1. </w:t>
            </w:r>
            <w:r>
              <w:rPr>
                <w:rFonts w:hint="eastAsia" w:cs="Calibri"/>
                <w:color w:val="000000"/>
                <w:sz w:val="21"/>
                <w:szCs w:val="21"/>
              </w:rPr>
              <w:t>组织质检要求：根据提供的新鲜组织，进行消化处理。质检要求：核悬液浓度：</w:t>
            </w:r>
            <w:r>
              <w:rPr>
                <w:rFonts w:ascii="Calibri" w:hAnsi="Calibri" w:cs="Calibri"/>
                <w:color w:val="000000"/>
                <w:sz w:val="21"/>
                <w:szCs w:val="21"/>
              </w:rPr>
              <w:t xml:space="preserve">3000-5000 </w:t>
            </w:r>
            <w:r>
              <w:rPr>
                <w:rFonts w:hint="eastAsia" w:cs="Calibri"/>
                <w:color w:val="000000"/>
                <w:sz w:val="21"/>
                <w:szCs w:val="21"/>
              </w:rPr>
              <w:t>核</w:t>
            </w:r>
            <w:r>
              <w:rPr>
                <w:rFonts w:ascii="Calibri" w:hAnsi="Calibri" w:cs="Calibri"/>
                <w:color w:val="000000"/>
                <w:sz w:val="21"/>
                <w:szCs w:val="21"/>
              </w:rPr>
              <w:t>/</w:t>
            </w:r>
            <w:r>
              <w:rPr>
                <w:rFonts w:hint="eastAsia" w:cs="Calibri"/>
                <w:color w:val="000000"/>
                <w:sz w:val="21"/>
                <w:szCs w:val="21"/>
              </w:rPr>
              <w:t>μ</w:t>
            </w:r>
            <w:r>
              <w:rPr>
                <w:rFonts w:ascii="Calibri" w:hAnsi="Calibri" w:cs="Calibri"/>
                <w:color w:val="000000"/>
                <w:sz w:val="21"/>
                <w:szCs w:val="21"/>
              </w:rPr>
              <w:t xml:space="preserve">L </w:t>
            </w:r>
            <w:r>
              <w:rPr>
                <w:rFonts w:hint="eastAsia" w:cs="Calibri"/>
                <w:color w:val="000000"/>
                <w:sz w:val="21"/>
                <w:szCs w:val="21"/>
              </w:rPr>
              <w:t>；体积：＞</w:t>
            </w:r>
            <w:r>
              <w:rPr>
                <w:rFonts w:ascii="Calibri" w:hAnsi="Calibri" w:cs="Calibri"/>
                <w:color w:val="000000"/>
                <w:sz w:val="21"/>
                <w:szCs w:val="21"/>
              </w:rPr>
              <w:t>50</w:t>
            </w:r>
            <w:r>
              <w:rPr>
                <w:rFonts w:hint="eastAsia" w:cs="Calibri"/>
                <w:color w:val="000000"/>
                <w:sz w:val="21"/>
                <w:szCs w:val="21"/>
              </w:rPr>
              <w:t>μ</w:t>
            </w:r>
            <w:r>
              <w:rPr>
                <w:rFonts w:ascii="Calibri" w:hAnsi="Calibri" w:cs="Calibri"/>
                <w:color w:val="000000"/>
                <w:sz w:val="21"/>
                <w:szCs w:val="21"/>
              </w:rPr>
              <w:t xml:space="preserve">L </w:t>
            </w:r>
            <w:r>
              <w:rPr>
                <w:rFonts w:hint="eastAsia" w:cs="Calibri"/>
                <w:color w:val="000000"/>
                <w:sz w:val="21"/>
                <w:szCs w:val="21"/>
              </w:rPr>
              <w:t>；活性：＜</w:t>
            </w:r>
            <w:r>
              <w:rPr>
                <w:rFonts w:ascii="Calibri" w:hAnsi="Calibri" w:cs="Calibri"/>
                <w:color w:val="000000"/>
                <w:sz w:val="21"/>
                <w:szCs w:val="21"/>
              </w:rPr>
              <w:t xml:space="preserve">5% </w:t>
            </w:r>
            <w:r>
              <w:rPr>
                <w:rFonts w:hint="eastAsia" w:cs="Calibri"/>
                <w:color w:val="000000"/>
                <w:sz w:val="21"/>
                <w:szCs w:val="21"/>
              </w:rPr>
              <w:t>；结团率：＜</w:t>
            </w:r>
            <w:r>
              <w:rPr>
                <w:rFonts w:ascii="Calibri" w:hAnsi="Calibri" w:cs="Calibri"/>
                <w:color w:val="000000"/>
                <w:sz w:val="21"/>
                <w:szCs w:val="21"/>
              </w:rPr>
              <w:t>5%</w:t>
            </w:r>
            <w:r>
              <w:rPr>
                <w:rFonts w:hint="eastAsia" w:cs="Calibri"/>
                <w:color w:val="000000"/>
                <w:sz w:val="21"/>
                <w:szCs w:val="21"/>
              </w:rPr>
              <w:t>，显微镜下无黏连细胞膜碎片，无结团细胞核；有核率：＞</w:t>
            </w:r>
            <w:r>
              <w:rPr>
                <w:rFonts w:ascii="Calibri" w:hAnsi="Calibri" w:cs="Calibri"/>
                <w:color w:val="000000"/>
                <w:sz w:val="21"/>
                <w:szCs w:val="21"/>
              </w:rPr>
              <w:t xml:space="preserve">70% </w:t>
            </w:r>
            <w:r>
              <w:rPr>
                <w:rFonts w:hint="eastAsia" w:cs="Calibri"/>
                <w:color w:val="000000"/>
                <w:sz w:val="21"/>
                <w:szCs w:val="21"/>
              </w:rPr>
              <w:t>；核膜完整性：＞</w:t>
            </w:r>
            <w:r>
              <w:rPr>
                <w:rFonts w:ascii="Calibri" w:hAnsi="Calibri" w:cs="Calibri"/>
                <w:color w:val="000000"/>
                <w:sz w:val="21"/>
                <w:szCs w:val="21"/>
              </w:rPr>
              <w:t>90%</w:t>
            </w:r>
            <w:r>
              <w:rPr>
                <w:rFonts w:hint="eastAsia" w:cs="Calibri"/>
                <w:color w:val="000000"/>
                <w:sz w:val="21"/>
                <w:szCs w:val="21"/>
              </w:rPr>
              <w:t>，</w:t>
            </w:r>
            <w:r>
              <w:rPr>
                <w:rFonts w:ascii="Calibri" w:hAnsi="Calibri" w:cs="Calibri"/>
                <w:color w:val="000000"/>
                <w:sz w:val="21"/>
                <w:szCs w:val="21"/>
              </w:rPr>
              <w:t xml:space="preserve">40 </w:t>
            </w:r>
            <w:r>
              <w:rPr>
                <w:rFonts w:hint="eastAsia" w:cs="Calibri"/>
                <w:color w:val="000000"/>
                <w:sz w:val="21"/>
                <w:szCs w:val="21"/>
              </w:rPr>
              <w:t>倍镜下完整细胞核轮廓完整，无不规则形状，核内均一性好。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2. </w:t>
            </w:r>
            <w:r>
              <w:rPr>
                <w:rFonts w:hint="eastAsia" w:cs="Calibri"/>
                <w:color w:val="000000"/>
                <w:sz w:val="21"/>
                <w:szCs w:val="21"/>
              </w:rPr>
              <w:t>测序平台需求：要求使用</w:t>
            </w:r>
            <w:r>
              <w:rPr>
                <w:rFonts w:ascii="Calibri" w:hAnsi="Calibri" w:cs="Calibri"/>
                <w:color w:val="000000"/>
                <w:sz w:val="21"/>
                <w:szCs w:val="21"/>
              </w:rPr>
              <w:t>Illumina NovaSeq 6000</w:t>
            </w:r>
            <w:r>
              <w:rPr>
                <w:rFonts w:hint="eastAsia" w:cs="Calibri"/>
                <w:color w:val="000000"/>
                <w:sz w:val="21"/>
                <w:szCs w:val="21"/>
              </w:rPr>
              <w:t>高通量测序平台进行测序；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bookmarkStart w:id="0" w:name="RANGE!A4"/>
            <w:r>
              <w:rPr>
                <w:rFonts w:ascii="Calibri" w:hAnsi="Calibri" w:cs="Calibri"/>
                <w:color w:val="000000"/>
                <w:sz w:val="21"/>
                <w:szCs w:val="21"/>
              </w:rPr>
              <w:t xml:space="preserve">3. </w:t>
            </w:r>
            <w:r>
              <w:rPr>
                <w:rFonts w:hint="eastAsia" w:cs="Calibri"/>
                <w:color w:val="000000"/>
                <w:sz w:val="21"/>
                <w:szCs w:val="21"/>
              </w:rPr>
              <w:t>测序质量要求：单细胞转录组测序策略，每例样本约</w:t>
            </w:r>
            <w:r>
              <w:rPr>
                <w:rFonts w:ascii="Calibri" w:hAnsi="Calibri" w:cs="Calibri"/>
                <w:color w:val="000000"/>
                <w:sz w:val="21"/>
                <w:szCs w:val="21"/>
              </w:rPr>
              <w:t>5000</w:t>
            </w:r>
            <w:r>
              <w:rPr>
                <w:rFonts w:hint="eastAsia" w:cs="Calibri"/>
                <w:color w:val="000000"/>
                <w:sz w:val="21"/>
                <w:szCs w:val="21"/>
              </w:rPr>
              <w:t>个细胞，</w:t>
            </w:r>
            <w:r>
              <w:rPr>
                <w:rFonts w:ascii="Calibri" w:hAnsi="Calibri" w:cs="Calibri"/>
                <w:color w:val="000000"/>
                <w:sz w:val="21"/>
                <w:szCs w:val="21"/>
              </w:rPr>
              <w:t>150G</w:t>
            </w:r>
            <w:r>
              <w:rPr>
                <w:rFonts w:hint="eastAsia" w:cs="Calibri"/>
                <w:color w:val="000000"/>
                <w:sz w:val="21"/>
                <w:szCs w:val="21"/>
              </w:rPr>
              <w:t>，约</w:t>
            </w:r>
            <w:r>
              <w:rPr>
                <w:rFonts w:ascii="Calibri" w:hAnsi="Calibri" w:cs="Calibri"/>
                <w:color w:val="000000"/>
                <w:sz w:val="21"/>
                <w:szCs w:val="21"/>
              </w:rPr>
              <w:t>10</w:t>
            </w:r>
            <w:r>
              <w:rPr>
                <w:rFonts w:hint="eastAsia" w:cs="Calibri"/>
                <w:color w:val="000000"/>
                <w:sz w:val="21"/>
                <w:szCs w:val="21"/>
              </w:rPr>
              <w:t>万</w:t>
            </w:r>
            <w:r>
              <w:rPr>
                <w:rFonts w:ascii="Calibri" w:hAnsi="Calibri" w:cs="Calibri"/>
                <w:color w:val="000000"/>
                <w:sz w:val="21"/>
                <w:szCs w:val="21"/>
              </w:rPr>
              <w:t>Read pairs</w:t>
            </w:r>
            <w:r>
              <w:rPr>
                <w:rFonts w:hint="eastAsia" w:cs="Calibri"/>
                <w:color w:val="000000"/>
                <w:sz w:val="21"/>
                <w:szCs w:val="21"/>
              </w:rPr>
              <w:t>数</w:t>
            </w:r>
            <w:r>
              <w:rPr>
                <w:rFonts w:ascii="Calibri" w:hAnsi="Calibri" w:cs="Calibri"/>
                <w:color w:val="000000"/>
                <w:sz w:val="21"/>
                <w:szCs w:val="21"/>
              </w:rPr>
              <w:t>/</w:t>
            </w:r>
            <w:r>
              <w:rPr>
                <w:rFonts w:hint="eastAsia" w:cs="Calibri"/>
                <w:color w:val="000000"/>
                <w:sz w:val="21"/>
                <w:szCs w:val="21"/>
              </w:rPr>
              <w:t>细胞；单细胞</w:t>
            </w:r>
            <w:r>
              <w:rPr>
                <w:rFonts w:ascii="Calibri" w:hAnsi="Calibri" w:cs="Calibri"/>
                <w:color w:val="000000"/>
                <w:sz w:val="21"/>
                <w:szCs w:val="21"/>
              </w:rPr>
              <w:t>ATAC</w:t>
            </w:r>
            <w:r>
              <w:rPr>
                <w:rFonts w:hint="eastAsia" w:cs="Calibri"/>
                <w:color w:val="000000"/>
                <w:sz w:val="21"/>
                <w:szCs w:val="21"/>
              </w:rPr>
              <w:t>测序策略，建议每个样本测约</w:t>
            </w:r>
            <w:r>
              <w:rPr>
                <w:rFonts w:ascii="Calibri" w:hAnsi="Calibri" w:cs="Calibri"/>
                <w:color w:val="000000"/>
                <w:sz w:val="21"/>
                <w:szCs w:val="21"/>
              </w:rPr>
              <w:t>5000</w:t>
            </w:r>
            <w:r>
              <w:rPr>
                <w:rFonts w:hint="eastAsia" w:cs="Calibri"/>
                <w:color w:val="000000"/>
                <w:sz w:val="21"/>
                <w:szCs w:val="21"/>
              </w:rPr>
              <w:t>个细胞，</w:t>
            </w:r>
            <w:r>
              <w:rPr>
                <w:rFonts w:ascii="Calibri" w:hAnsi="Calibri" w:cs="Calibri"/>
                <w:color w:val="000000"/>
                <w:sz w:val="21"/>
                <w:szCs w:val="21"/>
              </w:rPr>
              <w:t>25G</w:t>
            </w:r>
            <w:r>
              <w:rPr>
                <w:rFonts w:hint="eastAsia" w:cs="Calibri"/>
                <w:color w:val="000000"/>
                <w:sz w:val="21"/>
                <w:szCs w:val="21"/>
              </w:rPr>
              <w:t>，约</w:t>
            </w:r>
            <w:r>
              <w:rPr>
                <w:rFonts w:ascii="Calibri" w:hAnsi="Calibri" w:cs="Calibri"/>
                <w:color w:val="000000"/>
                <w:sz w:val="21"/>
                <w:szCs w:val="21"/>
              </w:rPr>
              <w:t>5</w:t>
            </w:r>
            <w:r>
              <w:rPr>
                <w:rFonts w:hint="eastAsia" w:cs="Calibri"/>
                <w:color w:val="000000"/>
                <w:sz w:val="21"/>
                <w:szCs w:val="21"/>
              </w:rPr>
              <w:t>万</w:t>
            </w:r>
            <w:r>
              <w:rPr>
                <w:rFonts w:ascii="Calibri" w:hAnsi="Calibri" w:cs="Calibri"/>
                <w:color w:val="000000"/>
                <w:sz w:val="21"/>
                <w:szCs w:val="21"/>
              </w:rPr>
              <w:t>Read pairs</w:t>
            </w:r>
            <w:r>
              <w:rPr>
                <w:rFonts w:hint="eastAsia" w:cs="Calibri"/>
                <w:color w:val="000000"/>
                <w:sz w:val="21"/>
                <w:szCs w:val="21"/>
              </w:rPr>
              <w:t>数</w:t>
            </w:r>
            <w:r>
              <w:rPr>
                <w:rFonts w:ascii="Calibri" w:hAnsi="Calibri" w:cs="Calibri"/>
                <w:color w:val="000000"/>
                <w:sz w:val="21"/>
                <w:szCs w:val="21"/>
              </w:rPr>
              <w:t>/</w:t>
            </w:r>
            <w:r>
              <w:rPr>
                <w:rFonts w:hint="eastAsia" w:cs="Calibri"/>
                <w:color w:val="000000"/>
                <w:sz w:val="21"/>
                <w:szCs w:val="21"/>
              </w:rPr>
              <w:t>细胞。</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4 </w:t>
            </w:r>
            <w:r>
              <w:rPr>
                <w:rFonts w:hint="eastAsia" w:cs="Calibri"/>
                <w:color w:val="000000"/>
                <w:sz w:val="21"/>
                <w:szCs w:val="21"/>
              </w:rPr>
              <w:t>数据验收标准：交付所有测序原始数据以及</w:t>
            </w:r>
            <w:r>
              <w:rPr>
                <w:rFonts w:ascii="Calibri" w:hAnsi="Calibri" w:cs="Calibri"/>
                <w:color w:val="000000"/>
                <w:sz w:val="21"/>
                <w:szCs w:val="21"/>
              </w:rPr>
              <w:t>clean data</w:t>
            </w:r>
            <w:r>
              <w:rPr>
                <w:rFonts w:hint="eastAsia" w:cs="Calibri"/>
                <w:color w:val="000000"/>
                <w:sz w:val="21"/>
                <w:szCs w:val="21"/>
              </w:rPr>
              <w:t>记录报告及结果；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宋体" w:hAnsi="宋体" w:cs="宋体"/>
                <w:color w:val="000000"/>
                <w:sz w:val="21"/>
                <w:szCs w:val="21"/>
              </w:rPr>
            </w:pPr>
            <w:r>
              <w:rPr>
                <w:rFonts w:hint="eastAsia"/>
                <w:color w:val="000000"/>
                <w:sz w:val="21"/>
                <w:szCs w:val="21"/>
              </w:rPr>
              <w:t>二、分析内容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1. </w:t>
            </w:r>
            <w:r>
              <w:rPr>
                <w:rFonts w:hint="eastAsia" w:cs="Calibri"/>
                <w:color w:val="000000"/>
                <w:sz w:val="21"/>
                <w:szCs w:val="21"/>
              </w:rPr>
              <w:t>基本分析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1.1 ATAC</w:t>
            </w:r>
            <w:r>
              <w:rPr>
                <w:rFonts w:hint="eastAsia" w:cs="Calibri"/>
                <w:color w:val="000000"/>
                <w:sz w:val="21"/>
                <w:szCs w:val="21"/>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1.2</w:t>
            </w:r>
            <w:r>
              <w:rPr>
                <w:rFonts w:hint="eastAsia" w:cs="Calibri"/>
                <w:color w:val="000000"/>
                <w:sz w:val="21"/>
                <w:szCs w:val="21"/>
              </w:rPr>
              <w:t>转录组分析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1.3</w:t>
            </w:r>
            <w:r>
              <w:rPr>
                <w:rFonts w:hint="eastAsia" w:cs="Calibri"/>
                <w:color w:val="000000"/>
                <w:sz w:val="21"/>
                <w:szCs w:val="21"/>
              </w:rPr>
              <w:t>细胞</w:t>
            </w:r>
            <w:r>
              <w:rPr>
                <w:rFonts w:ascii="Calibri" w:hAnsi="Calibri" w:cs="Calibri"/>
                <w:color w:val="000000"/>
                <w:sz w:val="21"/>
                <w:szCs w:val="21"/>
              </w:rPr>
              <w:t>Barcode</w:t>
            </w:r>
            <w:r>
              <w:rPr>
                <w:rFonts w:hint="eastAsia" w:cs="Calibri"/>
                <w:color w:val="000000"/>
                <w:sz w:val="21"/>
                <w:szCs w:val="21"/>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1.4</w:t>
            </w:r>
            <w:r>
              <w:rPr>
                <w:rFonts w:hint="eastAsia" w:cs="Calibri"/>
                <w:color w:val="000000"/>
                <w:sz w:val="21"/>
                <w:szCs w:val="21"/>
              </w:rPr>
              <w:t>降维分析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1.5</w:t>
            </w:r>
            <w:r>
              <w:rPr>
                <w:rFonts w:hint="eastAsia" w:cs="Calibri"/>
                <w:color w:val="000000"/>
                <w:sz w:val="21"/>
                <w:szCs w:val="21"/>
              </w:rPr>
              <w:t>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1.6</w:t>
            </w:r>
            <w:r>
              <w:rPr>
                <w:rFonts w:hint="eastAsia" w:cs="Calibri"/>
                <w:color w:val="000000"/>
                <w:sz w:val="21"/>
                <w:szCs w:val="21"/>
              </w:rPr>
              <w:t>基于</w:t>
            </w:r>
            <w:r>
              <w:rPr>
                <w:rFonts w:ascii="Calibri" w:hAnsi="Calibri" w:cs="Calibri"/>
                <w:color w:val="000000"/>
                <w:sz w:val="21"/>
                <w:szCs w:val="21"/>
              </w:rPr>
              <w:t>ATAC</w:t>
            </w:r>
            <w:r>
              <w:rPr>
                <w:rFonts w:hint="eastAsia" w:cs="Calibri"/>
                <w:color w:val="000000"/>
                <w:sz w:val="21"/>
                <w:szCs w:val="21"/>
              </w:rPr>
              <w:t>和基因表达聚类结果分别进行可及性差异分析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1.7</w:t>
            </w:r>
            <w:r>
              <w:rPr>
                <w:rFonts w:hint="eastAsia" w:cs="Calibri"/>
                <w:color w:val="000000"/>
                <w:sz w:val="21"/>
                <w:szCs w:val="21"/>
              </w:rPr>
              <w:t>基于</w:t>
            </w:r>
            <w:r>
              <w:rPr>
                <w:rFonts w:ascii="Calibri" w:hAnsi="Calibri" w:cs="Calibri"/>
                <w:color w:val="000000"/>
                <w:sz w:val="21"/>
                <w:szCs w:val="21"/>
              </w:rPr>
              <w:t>ATAC</w:t>
            </w:r>
            <w:r>
              <w:rPr>
                <w:rFonts w:hint="eastAsia" w:cs="Calibri"/>
                <w:color w:val="000000"/>
                <w:sz w:val="21"/>
                <w:szCs w:val="21"/>
              </w:rPr>
              <w:t>和基因表达聚类结果分别进行基因差异表达分析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1.8</w:t>
            </w:r>
            <w:r>
              <w:rPr>
                <w:rFonts w:hint="eastAsia" w:cs="Calibri"/>
                <w:color w:val="000000"/>
                <w:sz w:val="21"/>
                <w:szCs w:val="21"/>
              </w:rPr>
              <w:t>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D0D0D"/>
                <w:sz w:val="21"/>
                <w:szCs w:val="21"/>
              </w:rPr>
            </w:pPr>
            <w:r>
              <w:rPr>
                <w:rFonts w:ascii="Calibri" w:hAnsi="Calibri" w:cs="Calibri"/>
                <w:color w:val="0D0D0D"/>
                <w:sz w:val="21"/>
                <w:szCs w:val="21"/>
              </w:rPr>
              <w:t xml:space="preserve">2. </w:t>
            </w:r>
            <w:r>
              <w:rPr>
                <w:rFonts w:hint="eastAsia" w:cs="Calibri"/>
                <w:color w:val="0D0D0D"/>
                <w:sz w:val="21"/>
                <w:szCs w:val="21"/>
              </w:rPr>
              <w:t>高级分析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2.1 </w:t>
            </w:r>
            <w:r>
              <w:rPr>
                <w:rFonts w:hint="eastAsia" w:cs="Calibri"/>
                <w:color w:val="000000"/>
                <w:sz w:val="21"/>
                <w:szCs w:val="21"/>
              </w:rPr>
              <w:t>多样本合并比较分析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）合并分群分析</w:t>
            </w:r>
            <w:r>
              <w:rPr>
                <w:rFonts w:ascii="Calibri" w:hAnsi="Calibri" w:cs="Calibri"/>
                <w:color w:val="000000"/>
                <w:sz w:val="21"/>
                <w:szCs w:val="21"/>
              </w:rPr>
              <w:t>(</w:t>
            </w:r>
            <w:r>
              <w:rPr>
                <w:rFonts w:hint="eastAsia" w:cs="Calibri"/>
                <w:color w:val="000000"/>
                <w:sz w:val="21"/>
                <w:szCs w:val="21"/>
              </w:rPr>
              <w:t>包括</w:t>
            </w:r>
            <w:r>
              <w:rPr>
                <w:rFonts w:ascii="Calibri" w:hAnsi="Calibri" w:cs="Calibri"/>
                <w:color w:val="000000"/>
                <w:sz w:val="21"/>
                <w:szCs w:val="21"/>
              </w:rPr>
              <w:t>Cell Ranger</w:t>
            </w:r>
            <w:r>
              <w:rPr>
                <w:rFonts w:hint="eastAsia" w:cs="Calibri"/>
                <w:color w:val="000000"/>
                <w:sz w:val="21"/>
                <w:szCs w:val="21"/>
              </w:rPr>
              <w:t>和</w:t>
            </w:r>
            <w:r>
              <w:rPr>
                <w:rFonts w:ascii="Calibri" w:hAnsi="Calibri" w:cs="Calibri"/>
                <w:color w:val="000000"/>
                <w:sz w:val="21"/>
                <w:szCs w:val="21"/>
              </w:rPr>
              <w:t>Seurat</w:t>
            </w:r>
            <w:r>
              <w:rPr>
                <w:rFonts w:hint="eastAsia" w:cs="Calibri"/>
                <w:color w:val="000000"/>
                <w:sz w:val="21"/>
                <w:szCs w:val="21"/>
              </w:rPr>
              <w:t>分群</w:t>
            </w:r>
            <w:r>
              <w:rPr>
                <w:rFonts w:ascii="Calibri" w:hAnsi="Calibri" w:cs="Calibri"/>
                <w:color w:val="000000"/>
                <w:sz w:val="21"/>
                <w:szCs w:val="21"/>
              </w:rPr>
              <w:t>)</w:t>
            </w:r>
          </w:p>
          <w:p>
            <w:pPr>
              <w:rPr>
                <w:rFonts w:ascii="Calibri" w:hAnsi="Calibri" w:cs="Calibri"/>
                <w:color w:val="000000"/>
                <w:sz w:val="21"/>
                <w:szCs w:val="21"/>
              </w:rPr>
            </w:pPr>
            <w:r>
              <w:rPr>
                <w:rFonts w:ascii="Calibri" w:hAnsi="Calibri" w:cs="Calibri"/>
                <w:color w:val="000000"/>
                <w:sz w:val="21"/>
                <w:szCs w:val="21"/>
              </w:rPr>
              <w:t>Cluster Top20 Marker</w:t>
            </w:r>
            <w:r>
              <w:rPr>
                <w:rFonts w:hint="eastAsia" w:cs="Calibri"/>
                <w:color w:val="000000"/>
                <w:sz w:val="21"/>
                <w:szCs w:val="21"/>
              </w:rPr>
              <w:t>基因分析（包括富集、转录因子、蛋白互作、</w:t>
            </w:r>
            <w:r>
              <w:rPr>
                <w:rFonts w:ascii="Calibri" w:hAnsi="Calibri" w:cs="Calibri"/>
                <w:color w:val="000000"/>
                <w:sz w:val="21"/>
                <w:szCs w:val="21"/>
              </w:rPr>
              <w:t>GSEA</w:t>
            </w:r>
            <w:r>
              <w:rPr>
                <w:rFonts w:hint="eastAsia" w:cs="Calibri"/>
                <w:color w:val="000000"/>
                <w:sz w:val="21"/>
                <w:szCs w:val="21"/>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2.2 </w:t>
            </w:r>
            <w:r>
              <w:rPr>
                <w:rFonts w:hint="eastAsia" w:cs="Calibri"/>
                <w:color w:val="000000"/>
                <w:sz w:val="21"/>
                <w:szCs w:val="21"/>
              </w:rPr>
              <w:t>样本间差异分析（需指定比较分组）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2.3 Dotplot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w:t>
            </w:r>
            <w:r>
              <w:rPr>
                <w:rFonts w:ascii="Calibri" w:hAnsi="Calibri" w:cs="Calibri"/>
                <w:color w:val="000000"/>
                <w:sz w:val="21"/>
                <w:szCs w:val="21"/>
              </w:rPr>
              <w:t>topN</w:t>
            </w:r>
            <w:r>
              <w:rPr>
                <w:rFonts w:hint="eastAsia" w:cs="Calibri"/>
                <w:color w:val="000000"/>
                <w:sz w:val="21"/>
                <w:szCs w:val="21"/>
              </w:rPr>
              <w:t>差异基因表达变化</w:t>
            </w:r>
            <w:r>
              <w:rPr>
                <w:rFonts w:ascii="Calibri" w:hAnsi="Calibri" w:cs="Calibri"/>
                <w:color w:val="000000"/>
                <w:sz w:val="21"/>
                <w:szCs w:val="21"/>
              </w:rPr>
              <w:t>dotplot</w:t>
            </w:r>
            <w:r>
              <w:rPr>
                <w:rFonts w:hint="eastAsia" w:cs="Calibri"/>
                <w:color w:val="000000"/>
                <w:sz w:val="21"/>
                <w:szCs w:val="21"/>
              </w:rPr>
              <w:t>（</w:t>
            </w:r>
            <w:r>
              <w:rPr>
                <w:rFonts w:ascii="Calibri" w:hAnsi="Calibri" w:cs="Calibri"/>
                <w:color w:val="000000"/>
                <w:sz w:val="21"/>
                <w:szCs w:val="21"/>
              </w:rPr>
              <w:t>20</w:t>
            </w:r>
            <w:r>
              <w:rPr>
                <w:rFonts w:hint="eastAsia" w:cs="Calibri"/>
                <w:color w:val="000000"/>
                <w:sz w:val="21"/>
                <w:szCs w:val="21"/>
              </w:rPr>
              <w:t>基因以内）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2.4</w:t>
            </w:r>
            <w:r>
              <w:rPr>
                <w:rFonts w:hint="eastAsia" w:cs="Calibri"/>
                <w:color w:val="000000"/>
                <w:sz w:val="21"/>
                <w:szCs w:val="21"/>
              </w:rPr>
              <w:t>细胞亚群注释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）细胞类型注释（可以选择</w:t>
            </w:r>
            <w:r>
              <w:rPr>
                <w:rFonts w:ascii="Calibri" w:hAnsi="Calibri" w:cs="Calibri"/>
                <w:color w:val="000000"/>
                <w:sz w:val="21"/>
                <w:szCs w:val="21"/>
              </w:rPr>
              <w:t>SingleR</w:t>
            </w:r>
            <w:r>
              <w:rPr>
                <w:rFonts w:hint="eastAsia" w:cs="Calibri"/>
                <w:color w:val="000000"/>
                <w:sz w:val="21"/>
                <w:szCs w:val="21"/>
              </w:rPr>
              <w:t>或</w:t>
            </w:r>
            <w:r>
              <w:rPr>
                <w:rFonts w:ascii="Calibri" w:hAnsi="Calibri" w:cs="Calibri"/>
                <w:color w:val="000000"/>
                <w:sz w:val="21"/>
                <w:szCs w:val="21"/>
              </w:rPr>
              <w:t>CellAssign</w:t>
            </w:r>
            <w:r>
              <w:rPr>
                <w:rFonts w:hint="eastAsia" w:cs="Calibri"/>
                <w:color w:val="000000"/>
                <w:sz w:val="21"/>
                <w:szCs w:val="21"/>
              </w:rPr>
              <w:t>，如选两个费用叠加计算）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2.5</w:t>
            </w:r>
            <w:r>
              <w:rPr>
                <w:rFonts w:hint="eastAsia" w:cs="Calibri"/>
                <w:color w:val="000000"/>
                <w:sz w:val="21"/>
                <w:szCs w:val="21"/>
              </w:rPr>
              <w:t>重新分群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）挑选关键亚群进一步分群分析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2.6</w:t>
            </w:r>
            <w:r>
              <w:rPr>
                <w:rFonts w:hint="eastAsia" w:cs="Calibri"/>
                <w:color w:val="000000"/>
                <w:sz w:val="21"/>
                <w:szCs w:val="21"/>
              </w:rPr>
              <w:t>拟时间序列分析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）拟时序状态轨迹分析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2.7</w:t>
            </w:r>
            <w:r>
              <w:rPr>
                <w:rFonts w:hint="eastAsia" w:cs="Calibri"/>
                <w:color w:val="000000"/>
                <w:sz w:val="21"/>
                <w:szCs w:val="21"/>
              </w:rPr>
              <w:t>细胞相互作用网络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）基于表达相关性网络图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2.8 CellPhone DB</w:t>
            </w:r>
            <w:r>
              <w:rPr>
                <w:rFonts w:hint="eastAsia" w:cs="Calibri"/>
                <w:color w:val="000000"/>
                <w:sz w:val="21"/>
                <w:szCs w:val="21"/>
              </w:rPr>
              <w:t>细胞通讯分析（人）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）基于受体配体互作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2.9 CNV</w:t>
            </w:r>
            <w:r>
              <w:rPr>
                <w:rFonts w:hint="eastAsia" w:cs="Calibri"/>
                <w:color w:val="000000"/>
                <w:sz w:val="21"/>
                <w:szCs w:val="21"/>
              </w:rPr>
              <w:t>预测分析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）肿瘤细胞基因组拷贝数变异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3.0</w:t>
            </w:r>
            <w:r>
              <w:rPr>
                <w:rFonts w:hint="eastAsia" w:cs="Calibri"/>
                <w:color w:val="000000"/>
                <w:sz w:val="21"/>
                <w:szCs w:val="21"/>
              </w:rPr>
              <w:t>基因互作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）基因表达相关性网络图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3.1 CopyKAT</w:t>
            </w:r>
            <w:r>
              <w:rPr>
                <w:rFonts w:hint="eastAsia" w:cs="Calibri"/>
                <w:color w:val="000000"/>
                <w:sz w:val="21"/>
                <w:szCs w:val="21"/>
              </w:rPr>
              <w:t>恶性细胞鉴定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）鉴定恶性细胞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3.2 Scissor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单细胞数据和表型关联分析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3.3 10x</w:t>
            </w:r>
            <w:r>
              <w:rPr>
                <w:rFonts w:hint="eastAsia" w:cs="Calibri"/>
                <w:color w:val="000000"/>
                <w:sz w:val="21"/>
                <w:szCs w:val="21"/>
              </w:rPr>
              <w:t>单细胞</w:t>
            </w:r>
            <w:r>
              <w:rPr>
                <w:rFonts w:ascii="Calibri" w:hAnsi="Calibri" w:cs="Calibri"/>
                <w:color w:val="000000"/>
                <w:sz w:val="21"/>
                <w:szCs w:val="21"/>
              </w:rPr>
              <w:t>ATAC</w:t>
            </w:r>
            <w:r>
              <w:rPr>
                <w:rFonts w:hint="eastAsia" w:cs="Calibri"/>
                <w:color w:val="000000"/>
                <w:sz w:val="21"/>
                <w:szCs w:val="21"/>
              </w:rPr>
              <w:t>与转录组联合分析相关性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3.4</w:t>
            </w:r>
            <w:r>
              <w:rPr>
                <w:rFonts w:hint="eastAsia" w:cs="Calibri"/>
                <w:color w:val="000000"/>
                <w:sz w:val="21"/>
                <w:szCs w:val="21"/>
              </w:rPr>
              <w:t>与转录组联合分析细胞亚群预测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宋体" w:hAnsi="宋体" w:cs="宋体"/>
                <w:color w:val="000000"/>
                <w:sz w:val="21"/>
                <w:szCs w:val="21"/>
              </w:rPr>
            </w:pPr>
            <w:r>
              <w:rPr>
                <w:rFonts w:hint="eastAsia"/>
                <w:color w:val="000000"/>
                <w:sz w:val="21"/>
                <w:szCs w:val="21"/>
              </w:rPr>
              <w:t>三、其他具体要求</w:t>
            </w:r>
            <w:r>
              <w:rPr>
                <w:rFonts w:ascii="Calibri" w:hAnsi="Calibri" w:cs="Calibri"/>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3. </w:t>
            </w:r>
            <w:r>
              <w:rPr>
                <w:rFonts w:hint="eastAsia" w:cs="Calibri"/>
                <w:color w:val="000000"/>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3.1</w:t>
            </w:r>
            <w:r>
              <w:rPr>
                <w:rFonts w:hint="eastAsia" w:cs="Calibri"/>
                <w:color w:val="000000"/>
                <w:sz w:val="21"/>
                <w:szCs w:val="21"/>
              </w:rPr>
              <w:t>样品保存：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）对于质检不合格的样品，投标人将在质检报告发出之日起保存样品一周。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）采购人要求样品返还时，准确填写投标人的《样品返还表》，以邮件方式发给投标人相关人员并确认。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）对于质检合格的样品，投标人将在分析完成日起继续保存样品六周。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4</w:t>
            </w:r>
            <w:r>
              <w:rPr>
                <w:rFonts w:hint="eastAsia" w:cs="Calibri"/>
                <w:color w:val="000000"/>
                <w:sz w:val="21"/>
                <w:szCs w:val="21"/>
              </w:rPr>
              <w:t>）交货方式：投标人向采购人提交项目结题报告，说明项目完成情况；测序过程中产生的序列文件</w:t>
            </w:r>
            <w:r>
              <w:rPr>
                <w:rFonts w:ascii="Calibri" w:hAnsi="Calibri" w:cs="Calibri"/>
                <w:color w:val="000000"/>
                <w:sz w:val="21"/>
                <w:szCs w:val="21"/>
              </w:rPr>
              <w:t>*.fq</w:t>
            </w:r>
            <w:r>
              <w:rPr>
                <w:rFonts w:hint="eastAsia" w:cs="Calibri"/>
                <w:color w:val="000000"/>
                <w:sz w:val="21"/>
                <w:szCs w:val="21"/>
              </w:rPr>
              <w:t>（或</w:t>
            </w:r>
            <w:r>
              <w:rPr>
                <w:rFonts w:ascii="Calibri" w:hAnsi="Calibri" w:cs="Calibri"/>
                <w:color w:val="000000"/>
                <w:sz w:val="21"/>
                <w:szCs w:val="21"/>
              </w:rPr>
              <w:t>*.fa</w:t>
            </w:r>
            <w:r>
              <w:rPr>
                <w:rFonts w:hint="eastAsia" w:cs="Calibri"/>
                <w:color w:val="000000"/>
                <w:sz w:val="21"/>
                <w:szCs w:val="21"/>
              </w:rPr>
              <w:t>）和相关生物信息分析结果文件，如果数据量小于</w:t>
            </w:r>
            <w:r>
              <w:rPr>
                <w:rFonts w:ascii="Calibri" w:hAnsi="Calibri" w:cs="Calibri"/>
                <w:color w:val="000000"/>
                <w:sz w:val="21"/>
                <w:szCs w:val="21"/>
              </w:rPr>
              <w:t>10G</w:t>
            </w:r>
            <w:r>
              <w:rPr>
                <w:rFonts w:hint="eastAsia" w:cs="Calibri"/>
                <w:color w:val="000000"/>
                <w:sz w:val="21"/>
                <w:szCs w:val="21"/>
              </w:rPr>
              <w:t>，采购人可通过云平台链接进行数据下载；如采购人因网络等原因无法顺利下载，投标人应自行提供</w:t>
            </w:r>
            <w:r>
              <w:rPr>
                <w:rFonts w:ascii="Calibri" w:hAnsi="Calibri" w:cs="Calibri"/>
                <w:color w:val="000000"/>
                <w:sz w:val="21"/>
                <w:szCs w:val="21"/>
              </w:rPr>
              <w:t>U</w:t>
            </w:r>
            <w:r>
              <w:rPr>
                <w:rFonts w:hint="eastAsia" w:cs="Calibri"/>
                <w:color w:val="000000"/>
                <w:sz w:val="21"/>
                <w:szCs w:val="21"/>
              </w:rPr>
              <w:t>盘或移动硬盘传输。如果数据量大于</w:t>
            </w:r>
            <w:r>
              <w:rPr>
                <w:rFonts w:ascii="Calibri" w:hAnsi="Calibri" w:cs="Calibri"/>
                <w:color w:val="000000"/>
                <w:sz w:val="21"/>
                <w:szCs w:val="21"/>
              </w:rPr>
              <w:t>10G</w:t>
            </w:r>
            <w:r>
              <w:rPr>
                <w:rFonts w:hint="eastAsia" w:cs="Calibri"/>
                <w:color w:val="000000"/>
                <w:sz w:val="21"/>
                <w:szCs w:val="21"/>
              </w:rPr>
              <w:t>，所有数据将会使用</w:t>
            </w:r>
            <w:r>
              <w:rPr>
                <w:rFonts w:ascii="Calibri" w:hAnsi="Calibri" w:cs="Calibri"/>
                <w:color w:val="000000"/>
                <w:sz w:val="21"/>
                <w:szCs w:val="21"/>
              </w:rPr>
              <w:t>U</w:t>
            </w:r>
            <w:r>
              <w:rPr>
                <w:rFonts w:hint="eastAsia" w:cs="Calibri"/>
                <w:color w:val="000000"/>
                <w:sz w:val="21"/>
                <w:szCs w:val="21"/>
              </w:rPr>
              <w:t>盘或移动硬盘传输数据。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3.2</w:t>
            </w:r>
            <w:r>
              <w:rPr>
                <w:rFonts w:hint="eastAsia" w:cs="Calibri"/>
                <w:color w:val="000000"/>
                <w:sz w:val="21"/>
                <w:szCs w:val="21"/>
              </w:rPr>
              <w:t>数据后期验证：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）考虑到生物学实验的不确定性，即在各样本总数据量达标的情况下，每个样本数据量不低于目标数据量的</w:t>
            </w:r>
            <w:r>
              <w:rPr>
                <w:rFonts w:ascii="Calibri" w:hAnsi="Calibri" w:cs="Calibri"/>
                <w:color w:val="000000"/>
                <w:sz w:val="21"/>
                <w:szCs w:val="21"/>
              </w:rPr>
              <w:t>90%</w:t>
            </w:r>
            <w:r>
              <w:rPr>
                <w:rFonts w:hint="eastAsia" w:cs="Calibri"/>
                <w:color w:val="000000"/>
                <w:sz w:val="21"/>
                <w:szCs w:val="21"/>
              </w:rPr>
              <w:t>，平均</w:t>
            </w:r>
            <w:r>
              <w:rPr>
                <w:rFonts w:ascii="Calibri" w:hAnsi="Calibri" w:cs="Calibri"/>
                <w:color w:val="000000"/>
                <w:sz w:val="21"/>
                <w:szCs w:val="21"/>
              </w:rPr>
              <w:t>Q20</w:t>
            </w:r>
            <w:r>
              <w:rPr>
                <w:rFonts w:hint="eastAsia" w:cs="Calibri"/>
                <w:color w:val="000000"/>
                <w:sz w:val="21"/>
                <w:szCs w:val="21"/>
              </w:rPr>
              <w:t>≥</w:t>
            </w:r>
            <w:r>
              <w:rPr>
                <w:rFonts w:ascii="Calibri" w:hAnsi="Calibri" w:cs="Calibri"/>
                <w:color w:val="000000"/>
                <w:sz w:val="21"/>
                <w:szCs w:val="21"/>
              </w:rPr>
              <w:t>90%</w:t>
            </w:r>
            <w:r>
              <w:rPr>
                <w:rFonts w:hint="eastAsia" w:cs="Calibri"/>
                <w:color w:val="000000"/>
                <w:sz w:val="21"/>
                <w:szCs w:val="21"/>
              </w:rPr>
              <w:t>，</w:t>
            </w:r>
            <w:r>
              <w:rPr>
                <w:rFonts w:ascii="Calibri" w:hAnsi="Calibri" w:cs="Calibri"/>
                <w:color w:val="000000"/>
                <w:sz w:val="21"/>
                <w:szCs w:val="21"/>
              </w:rPr>
              <w:t>Q30</w:t>
            </w:r>
            <w:r>
              <w:rPr>
                <w:rFonts w:hint="eastAsia" w:cs="Calibri"/>
                <w:color w:val="000000"/>
                <w:sz w:val="21"/>
                <w:szCs w:val="21"/>
              </w:rPr>
              <w:t>≥</w:t>
            </w:r>
            <w:r>
              <w:rPr>
                <w:rFonts w:ascii="Calibri" w:hAnsi="Calibri" w:cs="Calibri"/>
                <w:color w:val="000000"/>
                <w:sz w:val="21"/>
                <w:szCs w:val="21"/>
              </w:rPr>
              <w:t>85%</w:t>
            </w:r>
            <w:r>
              <w:rPr>
                <w:rFonts w:hint="eastAsia" w:cs="Calibri"/>
                <w:color w:val="000000"/>
                <w:sz w:val="21"/>
                <w:szCs w:val="21"/>
              </w:rPr>
              <w:t>。如果实际测序产生的数据量超出合同约定的数据量，投标人将所有下机数据全部提交给采购人，投标人提交给采购人的信息分析结果将基于所有提交给采购人的数据。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3.3</w:t>
            </w:r>
            <w:r>
              <w:rPr>
                <w:rFonts w:hint="eastAsia" w:cs="Calibri"/>
                <w:color w:val="000000"/>
                <w:sz w:val="21"/>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投标人在收到采购人样本信息单后</w:t>
            </w:r>
            <w:r>
              <w:rPr>
                <w:rFonts w:ascii="Calibri" w:hAnsi="Calibri" w:cs="Calibri"/>
                <w:color w:val="000000"/>
                <w:sz w:val="21"/>
                <w:szCs w:val="21"/>
              </w:rPr>
              <w:t>1</w:t>
            </w:r>
            <w:r>
              <w:rPr>
                <w:rFonts w:hint="eastAsia" w:cs="Calibri"/>
                <w:color w:val="000000"/>
                <w:sz w:val="21"/>
                <w:szCs w:val="21"/>
              </w:rPr>
              <w:t>个自然日内安排进行上门取样品。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样品通过质检，采购人确认建库要求并在预付款到账后</w:t>
            </w:r>
            <w:r>
              <w:rPr>
                <w:rFonts w:ascii="Calibri" w:hAnsi="Calibri" w:cs="Calibri"/>
                <w:color w:val="000000"/>
                <w:sz w:val="21"/>
                <w:szCs w:val="21"/>
              </w:rPr>
              <w:t>20</w:t>
            </w:r>
            <w:r>
              <w:rPr>
                <w:rFonts w:hint="eastAsia" w:cs="Calibri"/>
                <w:color w:val="000000"/>
                <w:sz w:val="21"/>
                <w:szCs w:val="21"/>
              </w:rPr>
              <w:t>个工作日内投标人完成测序分析（如需要个性化数据分析，服务周期相应延长）；若有反复（多次）实验，则合同完成的期限从实验进程中每次实验起始时间重新计算，投标人承诺以最快的速度完成本次服务，若采购人需重新提供或追加样品，则服务周期各节点时间顺延（定制化分析内容的探讨及确定，请采购人在项目开展前或全部标准分析完成后统一向投标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若在测序或数据处理中遇到技术障碍，投标人应与采购人及时沟通，双方沟通时间应从本条第</w:t>
            </w:r>
            <w:r>
              <w:rPr>
                <w:rFonts w:ascii="Calibri" w:hAnsi="Calibri" w:cs="Calibri"/>
                <w:color w:val="000000"/>
                <w:sz w:val="21"/>
                <w:szCs w:val="21"/>
              </w:rPr>
              <w:t>2</w:t>
            </w:r>
            <w:r>
              <w:rPr>
                <w:rFonts w:hint="eastAsia" w:cs="Calibri"/>
                <w:color w:val="000000"/>
                <w:sz w:val="21"/>
                <w:szCs w:val="21"/>
              </w:rPr>
              <w:t>点中的</w:t>
            </w:r>
            <w:r>
              <w:rPr>
                <w:rFonts w:ascii="Calibri" w:hAnsi="Calibri" w:cs="Calibri"/>
                <w:color w:val="000000"/>
                <w:sz w:val="21"/>
                <w:szCs w:val="21"/>
              </w:rPr>
              <w:t>20</w:t>
            </w:r>
            <w:r>
              <w:rPr>
                <w:rFonts w:hint="eastAsia" w:cs="Calibri"/>
                <w:color w:val="000000"/>
                <w:sz w:val="21"/>
                <w:szCs w:val="21"/>
              </w:rPr>
              <w:t>个工作日中扣除。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4)</w:t>
            </w:r>
            <w:r>
              <w:rPr>
                <w:rFonts w:hint="eastAsia" w:cs="Calibri"/>
                <w:color w:val="000000"/>
                <w:sz w:val="21"/>
                <w:szCs w:val="21"/>
              </w:rPr>
              <w:t>若因样品提交单或立项信息采集表等需要采购人提供的信息不及时发送或信息有误所造成的耽误时间，应从上述第</w:t>
            </w:r>
            <w:r>
              <w:rPr>
                <w:rFonts w:ascii="Calibri" w:hAnsi="Calibri" w:cs="Calibri"/>
                <w:color w:val="000000"/>
                <w:sz w:val="21"/>
                <w:szCs w:val="21"/>
              </w:rPr>
              <w:t>2</w:t>
            </w:r>
            <w:r>
              <w:rPr>
                <w:rFonts w:hint="eastAsia" w:cs="Calibri"/>
                <w:color w:val="000000"/>
                <w:sz w:val="21"/>
                <w:szCs w:val="21"/>
              </w:rPr>
              <w:t>点中的</w:t>
            </w:r>
            <w:r>
              <w:rPr>
                <w:rFonts w:ascii="Calibri" w:hAnsi="Calibri" w:cs="Calibri"/>
                <w:color w:val="000000"/>
                <w:sz w:val="21"/>
                <w:szCs w:val="21"/>
              </w:rPr>
              <w:t>20</w:t>
            </w:r>
            <w:r>
              <w:rPr>
                <w:rFonts w:hint="eastAsia" w:cs="Calibri"/>
                <w:color w:val="000000"/>
                <w:sz w:val="21"/>
                <w:szCs w:val="21"/>
              </w:rPr>
              <w:t>个工作日中扣除。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宋体" w:hAnsi="宋体" w:cs="宋体"/>
                <w:color w:val="000000"/>
                <w:sz w:val="21"/>
                <w:szCs w:val="21"/>
              </w:rPr>
            </w:pPr>
            <w:r>
              <w:rPr>
                <w:rFonts w:hint="eastAsia"/>
                <w:color w:val="000000"/>
                <w:sz w:val="21"/>
                <w:szCs w:val="21"/>
              </w:rPr>
              <w:t>四、服务能力要求：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投标人具备高通量测序平台以及必要的设备技术支持。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投标人应能对数据进行高级分析和定制化分析。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投标人具有同类型的测序研究项目经验。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宋体" w:hAnsi="宋体" w:cs="宋体"/>
                <w:color w:val="000000"/>
                <w:sz w:val="21"/>
                <w:szCs w:val="21"/>
              </w:rPr>
            </w:pPr>
            <w:r>
              <w:rPr>
                <w:rFonts w:hint="eastAsia"/>
                <w:color w:val="000000"/>
                <w:sz w:val="21"/>
                <w:szCs w:val="21"/>
              </w:rPr>
              <w:t>五、售后服务条件及交付日期或工期：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成果交付后，中标人提供的项目咨询服务直至文章发表，费用包含在本项目报价内；如因中标人原因导致项目失败，如实验不成功，导致建库失败，中标人承担全部责任并退还采购人已付全部款项。同时，中标人应赔偿采购人前期所投入的人力财力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交付期：自合同签订之日起按采购人要求在</w:t>
            </w:r>
            <w:r>
              <w:rPr>
                <w:rFonts w:ascii="Calibri" w:hAnsi="Calibri" w:cs="Calibri"/>
                <w:color w:val="000000"/>
                <w:sz w:val="21"/>
                <w:szCs w:val="21"/>
              </w:rPr>
              <w:t>30</w:t>
            </w:r>
            <w:r>
              <w:rPr>
                <w:rFonts w:hint="eastAsia" w:cs="Calibri"/>
                <w:color w:val="000000"/>
                <w:sz w:val="21"/>
                <w:szCs w:val="21"/>
              </w:rPr>
              <w:t>个工作日内分批交付；文库质检合格后，中标人</w:t>
            </w:r>
            <w:r>
              <w:rPr>
                <w:rFonts w:ascii="Calibri" w:hAnsi="Calibri" w:cs="Calibri"/>
                <w:color w:val="000000"/>
                <w:sz w:val="21"/>
                <w:szCs w:val="21"/>
              </w:rPr>
              <w:t>30</w:t>
            </w:r>
            <w:r>
              <w:rPr>
                <w:rFonts w:hint="eastAsia" w:cs="Calibri"/>
                <w:color w:val="000000"/>
                <w:sz w:val="21"/>
                <w:szCs w:val="21"/>
              </w:rPr>
              <w:t>个工作日内给出原始数据。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项目所得数据不允许投标人使用（包括不限于发表论文、申请相关的研究专利等）。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4.</w:t>
            </w:r>
            <w:r>
              <w:rPr>
                <w:rFonts w:hint="eastAsia" w:cs="Calibri"/>
                <w:color w:val="000000"/>
                <w:sz w:val="21"/>
                <w:szCs w:val="21"/>
              </w:rPr>
              <w:t>其他售后服务要求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投标人应配备专门的售后服务人员：含售后直接对接技术人员</w:t>
            </w:r>
            <w:r>
              <w:rPr>
                <w:rFonts w:ascii="Calibri" w:hAnsi="Calibri" w:cs="Calibri"/>
                <w:color w:val="000000"/>
                <w:sz w:val="21"/>
                <w:szCs w:val="21"/>
              </w:rPr>
              <w:t>1</w:t>
            </w:r>
            <w:r>
              <w:rPr>
                <w:rFonts w:hint="eastAsia" w:cs="Calibri"/>
                <w:color w:val="000000"/>
                <w:sz w:val="21"/>
                <w:szCs w:val="21"/>
              </w:rPr>
              <w:t>名，生信分析人员</w:t>
            </w:r>
            <w:r>
              <w:rPr>
                <w:rFonts w:ascii="Calibri" w:hAnsi="Calibri" w:cs="Calibri"/>
                <w:color w:val="000000"/>
                <w:sz w:val="21"/>
                <w:szCs w:val="21"/>
              </w:rPr>
              <w:t>1</w:t>
            </w:r>
            <w:r>
              <w:rPr>
                <w:rFonts w:hint="eastAsia" w:cs="Calibri"/>
                <w:color w:val="000000"/>
                <w:sz w:val="21"/>
                <w:szCs w:val="21"/>
              </w:rPr>
              <w:t>名，项目流程管理人员</w:t>
            </w:r>
            <w:r>
              <w:rPr>
                <w:rFonts w:ascii="Calibri" w:hAnsi="Calibri" w:cs="Calibri"/>
                <w:color w:val="000000"/>
                <w:sz w:val="21"/>
                <w:szCs w:val="21"/>
              </w:rPr>
              <w:t>1</w:t>
            </w:r>
            <w:r>
              <w:rPr>
                <w:rFonts w:hint="eastAsia" w:cs="Calibri"/>
                <w:color w:val="000000"/>
                <w:sz w:val="21"/>
                <w:szCs w:val="21"/>
              </w:rPr>
              <w:t>名，项目责任人</w:t>
            </w:r>
            <w:r>
              <w:rPr>
                <w:rFonts w:ascii="Calibri" w:hAnsi="Calibri" w:cs="Calibri"/>
                <w:color w:val="000000"/>
                <w:sz w:val="21"/>
                <w:szCs w:val="21"/>
              </w:rPr>
              <w:t>1</w:t>
            </w:r>
            <w:r>
              <w:rPr>
                <w:rFonts w:hint="eastAsia" w:cs="Calibri"/>
                <w:color w:val="000000"/>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售后对接方式不局限于：电话、邮件、微信群、腾讯会议、现场拜访等。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售后能解决并指导做一些分析需求。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宋体" w:hAnsi="宋体" w:cs="宋体"/>
                <w:color w:val="000000"/>
                <w:sz w:val="21"/>
                <w:szCs w:val="21"/>
              </w:rPr>
            </w:pPr>
            <w:r>
              <w:rPr>
                <w:rFonts w:hint="eastAsia"/>
                <w:color w:val="000000"/>
                <w:sz w:val="21"/>
                <w:szCs w:val="21"/>
              </w:rPr>
              <w:t>六、保密要求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1. </w:t>
            </w:r>
            <w:r>
              <w:rPr>
                <w:rFonts w:hint="eastAsia" w:cs="Calibri"/>
                <w:color w:val="000000"/>
                <w:sz w:val="21"/>
                <w:szCs w:val="21"/>
              </w:rPr>
              <w:t>投标人应履行以下保密义务：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）保密内容（包括技术信息和经营信息）：原始资料、技术路线、试验报告及与试验有关的资料结果及价格等。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）涉密人员范围：参与项目所有人员。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）保密期限：自合同生效日起长期。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4</w:t>
            </w:r>
            <w:r>
              <w:rPr>
                <w:rFonts w:hint="eastAsia" w:cs="Calibri"/>
                <w:color w:val="000000"/>
                <w:sz w:val="21"/>
                <w:szCs w:val="21"/>
              </w:rPr>
              <w:t>）泄密责任：一切责任由泄密方承担。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2. </w:t>
            </w:r>
            <w:r>
              <w:rPr>
                <w:rFonts w:hint="eastAsia" w:cs="Calibri"/>
                <w:color w:val="000000"/>
                <w:sz w:val="21"/>
                <w:szCs w:val="21"/>
              </w:rPr>
              <w:t>为方便采购人测序数据的使用，投标人承诺在最终数据提供后，继续保留数据</w:t>
            </w:r>
            <w:r>
              <w:rPr>
                <w:rFonts w:ascii="Calibri" w:hAnsi="Calibri" w:cs="Calibri"/>
                <w:color w:val="000000"/>
                <w:sz w:val="21"/>
                <w:szCs w:val="21"/>
              </w:rPr>
              <w:t>3</w:t>
            </w:r>
            <w:r>
              <w:rPr>
                <w:rFonts w:hint="eastAsia" w:cs="Calibri"/>
                <w:color w:val="000000"/>
                <w:sz w:val="21"/>
                <w:szCs w:val="21"/>
              </w:rPr>
              <w:t>个月，超过</w:t>
            </w:r>
            <w:r>
              <w:rPr>
                <w:rFonts w:ascii="Calibri" w:hAnsi="Calibri" w:cs="Calibri"/>
                <w:color w:val="000000"/>
                <w:sz w:val="21"/>
                <w:szCs w:val="21"/>
              </w:rPr>
              <w:t>3</w:t>
            </w:r>
            <w:r>
              <w:rPr>
                <w:rFonts w:hint="eastAsia" w:cs="Calibri"/>
                <w:color w:val="000000"/>
                <w:sz w:val="21"/>
                <w:szCs w:val="21"/>
              </w:rPr>
              <w:t>个月，投标人不承担保存数据的义务；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）投标人应当保证其交付给采购人的研究开发成果不侵犯任何第三人的合法权益；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bottom"/>
          </w:tcPr>
          <w:p>
            <w:pPr>
              <w:jc w:val="left"/>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）投标人不得在向采购人交付研究开发成果之前，自行将研究开发成果转让给第三人。</w:t>
            </w:r>
          </w:p>
        </w:tc>
      </w:tr>
    </w:tbl>
    <w:p>
      <w:pPr>
        <w:spacing w:line="360" w:lineRule="auto"/>
        <w:rPr>
          <w:rFonts w:hint="eastAsia" w:ascii="仿宋" w:hAnsi="仿宋" w:eastAsia="仿宋" w:cs="仿宋"/>
          <w:sz w:val="24"/>
          <w:szCs w:val="24"/>
        </w:rPr>
      </w:pPr>
    </w:p>
    <w:p>
      <w:pPr>
        <w:ind w:left="438" w:leftChars="132"/>
        <w:rPr>
          <w:rFonts w:hint="eastAsia"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pPr>
        <w:ind w:left="438" w:leftChars="132"/>
        <w:rPr>
          <w:rFonts w:hint="eastAsia"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jc w:val="center"/>
      </w:pPr>
      <w:r>
        <w:rPr>
          <w:rFonts w:hint="eastAsia" w:ascii="仿宋" w:hAnsi="仿宋" w:eastAsia="仿宋" w:cs="仿宋"/>
          <w:b/>
          <w:sz w:val="32"/>
        </w:rPr>
        <w:t xml:space="preserve">第三部分 </w:t>
      </w:r>
      <w:r>
        <w:rPr>
          <w:b/>
          <w:sz w:val="52"/>
        </w:rPr>
        <w:t>技术服务合同</w:t>
      </w:r>
    </w:p>
    <w:p/>
    <w:p/>
    <w:p/>
    <w:p>
      <w:pPr>
        <w:ind w:left="-670" w:leftChars="-202"/>
      </w:pPr>
      <w:r>
        <w:rPr>
          <w:b/>
          <w:sz w:val="28"/>
        </w:rPr>
        <w:t>合同编号：</w:t>
      </w:r>
    </w:p>
    <w:p/>
    <w:p/>
    <w:p/>
    <w:p/>
    <w:p/>
    <w:tbl>
      <w:tblPr>
        <w:tblStyle w:val="21"/>
        <w:tblpPr w:leftFromText="180" w:rightFromText="180" w:vertAnchor="text" w:horzAnchor="page" w:tblpX="1210" w:tblpY="311"/>
        <w:tblOverlap w:val="never"/>
        <w:tblW w:w="923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21"/>
        <w:gridCol w:w="1401"/>
        <w:gridCol w:w="1353"/>
        <w:gridCol w:w="718"/>
        <w:gridCol w:w="404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6114" w:type="dxa"/>
        </w:trPr>
        <w:tc>
          <w:tcPr>
            <w:tcW w:w="3122" w:type="dxa"/>
            <w:gridSpan w:val="2"/>
            <w:tcBorders>
              <w:top w:val="nil"/>
              <w:left w:val="nil"/>
              <w:bottom w:val="nil"/>
              <w:right w:val="nil"/>
            </w:tcBorders>
            <w:shd w:val="clear" w:color="auto" w:fill="FFFFFF"/>
          </w:tcPr>
          <w:p>
            <w:r>
              <w:rPr>
                <w:b/>
                <w:sz w:val="32"/>
              </w:rPr>
              <w:t>项目名称</w:t>
            </w:r>
            <w:r>
              <w:rPr>
                <w:sz w:val="32"/>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22" w:type="dxa"/>
            <w:gridSpan w:val="2"/>
            <w:tcBorders>
              <w:top w:val="nil"/>
              <w:left w:val="nil"/>
              <w:bottom w:val="nil"/>
              <w:right w:val="nil"/>
            </w:tcBorders>
            <w:shd w:val="clear" w:color="auto" w:fill="FFFFFF"/>
          </w:tcPr>
          <w:p>
            <w:r>
              <w:rPr>
                <w:b/>
                <w:sz w:val="32"/>
              </w:rPr>
              <w:t>委托方（甲方）：</w:t>
            </w:r>
          </w:p>
        </w:tc>
        <w:tc>
          <w:tcPr>
            <w:tcW w:w="6114" w:type="dxa"/>
            <w:gridSpan w:val="3"/>
            <w:tcBorders>
              <w:top w:val="nil"/>
              <w:left w:val="nil"/>
              <w:bottom w:val="nil"/>
              <w:right w:val="nil"/>
            </w:tcBorders>
            <w:shd w:val="clear" w:color="auto" w:fill="FFFFFF"/>
          </w:tcPr>
          <w:p>
            <w:r>
              <w:rPr>
                <w:b/>
                <w:sz w:val="32"/>
              </w:rPr>
              <w:t>汕头大学医学院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6114" w:type="dxa"/>
        </w:trPr>
        <w:tc>
          <w:tcPr>
            <w:tcW w:w="3122" w:type="dxa"/>
            <w:gridSpan w:val="2"/>
            <w:tcBorders>
              <w:top w:val="nil"/>
              <w:left w:val="nil"/>
              <w:bottom w:val="nil"/>
              <w:right w:val="nil"/>
            </w:tcBorders>
            <w:shd w:val="clear" w:color="auto" w:fill="FFFFFF"/>
          </w:tcPr>
          <w:p>
            <w:r>
              <w:rPr>
                <w:b/>
                <w:sz w:val="32"/>
              </w:rPr>
              <w:t>服务方（乙方）：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6114" w:type="dxa"/>
        </w:trPr>
        <w:tc>
          <w:tcPr>
            <w:tcW w:w="3122" w:type="dxa"/>
            <w:gridSpan w:val="2"/>
            <w:tcBorders>
              <w:top w:val="nil"/>
              <w:left w:val="nil"/>
              <w:bottom w:val="nil"/>
              <w:right w:val="nil"/>
            </w:tcBorders>
            <w:shd w:val="clear" w:color="auto" w:fill="FFFFFF"/>
          </w:tcPr>
          <w:p>
            <w:r>
              <w:rPr>
                <w:b/>
                <w:sz w:val="32"/>
              </w:rPr>
              <w:t>签订地点：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22" w:type="dxa"/>
            <w:gridSpan w:val="2"/>
            <w:tcBorders>
              <w:top w:val="nil"/>
              <w:left w:val="nil"/>
              <w:bottom w:val="nil"/>
              <w:right w:val="nil"/>
            </w:tcBorders>
            <w:shd w:val="clear" w:color="auto" w:fill="FFFFFF"/>
          </w:tcPr>
          <w:p>
            <w:pPr>
              <w:rPr>
                <w:color w:val="000000"/>
              </w:rPr>
            </w:pPr>
            <w:r>
              <w:rPr>
                <w:b/>
                <w:color w:val="000000"/>
                <w:sz w:val="32"/>
              </w:rPr>
              <w:t>签订日期：</w:t>
            </w:r>
          </w:p>
        </w:tc>
        <w:tc>
          <w:tcPr>
            <w:tcW w:w="6114" w:type="dxa"/>
            <w:gridSpan w:val="3"/>
            <w:tcBorders>
              <w:top w:val="nil"/>
              <w:left w:val="nil"/>
              <w:bottom w:val="nil"/>
              <w:right w:val="nil"/>
            </w:tcBorders>
            <w:shd w:val="clear" w:color="auto" w:fill="FFFFFF"/>
          </w:tcPr>
          <w:p>
            <w:pPr>
              <w:ind w:firstLine="1116" w:firstLineChars="300"/>
              <w:rPr>
                <w:color w:val="000000"/>
              </w:rPr>
            </w:pPr>
            <w:r>
              <w:rPr>
                <w:color w:val="000000"/>
                <w:sz w:val="32"/>
              </w:rPr>
              <w:t>年</w:t>
            </w:r>
            <w:r>
              <w:rPr>
                <w:rFonts w:hint="eastAsia"/>
                <w:color w:val="000000"/>
                <w:sz w:val="32"/>
              </w:rPr>
              <w:t xml:space="preserve">  </w:t>
            </w:r>
            <w:r>
              <w:rPr>
                <w:color w:val="000000"/>
                <w:sz w:val="32"/>
              </w:rPr>
              <w:t>月</w:t>
            </w:r>
            <w:r>
              <w:rPr>
                <w:rFonts w:hint="eastAsia"/>
                <w:color w:val="000000"/>
                <w:sz w:val="32"/>
              </w:rPr>
              <w:t xml:space="preserve">    </w:t>
            </w:r>
            <w:r>
              <w:rPr>
                <w:color w:val="000000"/>
                <w:sz w:val="32"/>
              </w:rPr>
              <w:t>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21" w:type="dxa"/>
            <w:tcBorders>
              <w:top w:val="nil"/>
              <w:left w:val="nil"/>
              <w:bottom w:val="nil"/>
              <w:right w:val="nil"/>
            </w:tcBorders>
            <w:shd w:val="clear" w:color="auto" w:fill="FFFFFF"/>
          </w:tcPr>
          <w:p>
            <w:pPr>
              <w:rPr>
                <w:color w:val="000000"/>
              </w:rPr>
            </w:pPr>
            <w:r>
              <w:rPr>
                <w:b/>
                <w:color w:val="000000"/>
                <w:sz w:val="32"/>
              </w:rPr>
              <w:t>有效期限：</w:t>
            </w:r>
          </w:p>
        </w:tc>
        <w:tc>
          <w:tcPr>
            <w:tcW w:w="2754" w:type="dxa"/>
            <w:gridSpan w:val="2"/>
            <w:tcBorders>
              <w:top w:val="nil"/>
              <w:left w:val="nil"/>
              <w:bottom w:val="nil"/>
              <w:right w:val="nil"/>
            </w:tcBorders>
            <w:shd w:val="clear" w:color="auto" w:fill="FFFFFF"/>
          </w:tcPr>
          <w:p>
            <w:pPr>
              <w:ind w:firstLine="744" w:firstLineChars="200"/>
              <w:rPr>
                <w:color w:val="000000"/>
              </w:rPr>
            </w:pPr>
            <w:r>
              <w:rPr>
                <w:color w:val="000000"/>
                <w:sz w:val="32"/>
              </w:rPr>
              <w:t>年</w:t>
            </w:r>
            <w:r>
              <w:rPr>
                <w:rFonts w:hint="eastAsia"/>
                <w:color w:val="000000"/>
                <w:sz w:val="32"/>
              </w:rPr>
              <w:t xml:space="preserve">  </w:t>
            </w:r>
            <w:r>
              <w:rPr>
                <w:color w:val="000000"/>
                <w:sz w:val="32"/>
              </w:rPr>
              <w:t>月</w:t>
            </w:r>
            <w:r>
              <w:rPr>
                <w:rFonts w:hint="eastAsia"/>
                <w:color w:val="000000"/>
                <w:sz w:val="32"/>
              </w:rPr>
              <w:t xml:space="preserve">   </w:t>
            </w:r>
            <w:r>
              <w:rPr>
                <w:color w:val="000000"/>
                <w:sz w:val="32"/>
              </w:rPr>
              <w:t>日</w:t>
            </w:r>
          </w:p>
        </w:tc>
        <w:tc>
          <w:tcPr>
            <w:tcW w:w="718" w:type="dxa"/>
            <w:tcBorders>
              <w:top w:val="nil"/>
              <w:left w:val="nil"/>
              <w:bottom w:val="nil"/>
              <w:right w:val="nil"/>
            </w:tcBorders>
            <w:shd w:val="clear" w:color="auto" w:fill="FFFFFF"/>
          </w:tcPr>
          <w:p>
            <w:pPr>
              <w:rPr>
                <w:color w:val="000000"/>
              </w:rPr>
            </w:pPr>
            <w:r>
              <w:rPr>
                <w:color w:val="000000"/>
                <w:sz w:val="32"/>
              </w:rPr>
              <w:t>至</w:t>
            </w:r>
          </w:p>
        </w:tc>
        <w:tc>
          <w:tcPr>
            <w:tcW w:w="4043" w:type="dxa"/>
            <w:tcBorders>
              <w:top w:val="nil"/>
              <w:left w:val="nil"/>
              <w:bottom w:val="nil"/>
              <w:right w:val="nil"/>
            </w:tcBorders>
            <w:shd w:val="clear" w:color="auto" w:fill="FFFFFF"/>
          </w:tcPr>
          <w:p>
            <w:pPr>
              <w:ind w:firstLine="186" w:firstLineChars="50"/>
              <w:rPr>
                <w:color w:val="000000"/>
              </w:rPr>
            </w:pPr>
            <w:r>
              <w:rPr>
                <w:color w:val="000000"/>
                <w:sz w:val="32"/>
              </w:rPr>
              <w:t>年</w:t>
            </w:r>
            <w:r>
              <w:rPr>
                <w:rFonts w:hint="eastAsia"/>
                <w:color w:val="000000"/>
                <w:sz w:val="32"/>
              </w:rPr>
              <w:t xml:space="preserve">  </w:t>
            </w:r>
            <w:r>
              <w:rPr>
                <w:color w:val="000000"/>
                <w:sz w:val="32"/>
              </w:rPr>
              <w:t>月</w:t>
            </w:r>
            <w:r>
              <w:rPr>
                <w:rFonts w:hint="eastAsia"/>
                <w:color w:val="000000"/>
                <w:sz w:val="32"/>
              </w:rPr>
              <w:t xml:space="preserve">   </w:t>
            </w:r>
            <w:r>
              <w:rPr>
                <w:color w:val="000000"/>
              </w:rPr>
              <w:t xml:space="preserve"> </w:t>
            </w:r>
            <w:r>
              <w:rPr>
                <w:color w:val="000000"/>
                <w:sz w:val="32"/>
              </w:rPr>
              <w:t>日</w:t>
            </w:r>
          </w:p>
        </w:tc>
      </w:tr>
    </w:tbl>
    <w:p/>
    <w:p/>
    <w:p/>
    <w:p>
      <w:pPr>
        <w:jc w:val="center"/>
      </w:pPr>
    </w:p>
    <w:p/>
    <w:p/>
    <w:p/>
    <w:p/>
    <w:p/>
    <w:p/>
    <w:p/>
    <w:p/>
    <w:p/>
    <w:p>
      <w:pPr>
        <w:rPr>
          <w:rFonts w:hint="eastAsia"/>
        </w:rPr>
      </w:pPr>
    </w:p>
    <w:p/>
    <w:p>
      <w:pPr>
        <w:ind w:firstLine="524" w:firstLineChars="200"/>
        <w:jc w:val="left"/>
        <w:rPr>
          <w:rFonts w:cs="Times New Roman"/>
          <w:sz w:val="21"/>
          <w:szCs w:val="21"/>
        </w:rPr>
      </w:pPr>
      <w:r>
        <w:rPr>
          <w:sz w:val="21"/>
          <w:szCs w:val="21"/>
        </w:rPr>
        <w:t>依据《中华人民共和国民法典》的</w:t>
      </w:r>
      <w:r>
        <w:rPr>
          <w:rFonts w:cs="Times New Roman"/>
          <w:sz w:val="21"/>
          <w:szCs w:val="21"/>
        </w:rPr>
        <w:t>规定</w:t>
      </w:r>
      <w:r>
        <w:rPr>
          <w:rFonts w:hint="eastAsia" w:cs="Times New Roman"/>
          <w:sz w:val="21"/>
          <w:szCs w:val="21"/>
        </w:rPr>
        <w:t>及</w:t>
      </w:r>
      <w:r>
        <w:rPr>
          <w:rFonts w:hint="eastAsia" w:cs="Times New Roman"/>
          <w:sz w:val="21"/>
          <w:szCs w:val="21"/>
        </w:rPr>
        <w:softHyphen/>
      </w:r>
      <w:r>
        <w:rPr>
          <w:rFonts w:hint="eastAsia" w:cs="Times New Roman"/>
          <w:sz w:val="21"/>
          <w:szCs w:val="21"/>
        </w:rPr>
        <w:softHyphen/>
      </w:r>
      <w:r>
        <w:rPr>
          <w:rFonts w:hint="eastAsia" w:cs="Times New Roman"/>
          <w:sz w:val="21"/>
          <w:szCs w:val="21"/>
        </w:rPr>
        <w:softHyphen/>
      </w:r>
      <w:r>
        <w:rPr>
          <w:rFonts w:hint="eastAsia" w:cs="Times New Roman"/>
          <w:sz w:val="21"/>
          <w:szCs w:val="21"/>
        </w:rPr>
        <w:softHyphen/>
      </w:r>
      <w:r>
        <w:rPr>
          <w:rFonts w:hint="eastAsia" w:cs="Times New Roman"/>
          <w:sz w:val="21"/>
          <w:szCs w:val="21"/>
        </w:rPr>
        <w:t>______年__月__日汕头大学医学院“设______号”招标文件和依据</w:t>
      </w:r>
      <w:r>
        <w:rPr>
          <w:rFonts w:hint="eastAsia" w:cs="Times New Roman"/>
          <w:sz w:val="21"/>
          <w:szCs w:val="21"/>
          <w:lang w:eastAsia="zh-CN"/>
        </w:rPr>
        <w:t>此</w:t>
      </w:r>
      <w:r>
        <w:rPr>
          <w:rFonts w:hint="eastAsia" w:cs="Times New Roman"/>
          <w:sz w:val="21"/>
          <w:szCs w:val="21"/>
        </w:rPr>
        <w:t>文件产生的中标结果，</w:t>
      </w:r>
      <w:r>
        <w:rPr>
          <w:rFonts w:cs="Times New Roman"/>
          <w:sz w:val="21"/>
          <w:szCs w:val="21"/>
        </w:rPr>
        <w:t>，合同双方就乙方为甲方提供“</w:t>
      </w:r>
      <w:r>
        <w:rPr>
          <w:rFonts w:hint="eastAsia" w:cs="Times New Roman"/>
          <w:sz w:val="21"/>
          <w:szCs w:val="21"/>
          <w:lang w:val="en-US" w:eastAsia="zh-CN"/>
        </w:rPr>
        <w:t xml:space="preserve">7 </w:t>
      </w:r>
      <w:r>
        <w:rPr>
          <w:rFonts w:cs="Times New Roman"/>
          <w:sz w:val="21"/>
          <w:szCs w:val="21"/>
        </w:rPr>
        <w:t>份皮肤样本构建10x单细胞核ATAC</w:t>
      </w:r>
      <w:bookmarkStart w:id="2" w:name="_GoBack"/>
      <w:bookmarkEnd w:id="2"/>
      <w:r>
        <w:rPr>
          <w:rFonts w:hint="eastAsia" w:cs="Times New Roman"/>
          <w:sz w:val="21"/>
          <w:szCs w:val="21"/>
          <w:lang w:val="en-US" w:eastAsia="zh-CN"/>
        </w:rPr>
        <w:t>和表达谱</w:t>
      </w:r>
      <w:r>
        <w:rPr>
          <w:rFonts w:cs="Times New Roman"/>
          <w:sz w:val="21"/>
          <w:szCs w:val="21"/>
        </w:rPr>
        <w:t>测序”事宜，经协商一致，签订本合同。</w:t>
      </w:r>
    </w:p>
    <w:p>
      <w:pPr>
        <w:rPr>
          <w:sz w:val="21"/>
          <w:szCs w:val="21"/>
        </w:rPr>
      </w:pPr>
      <w:r>
        <w:rPr>
          <w:b/>
          <w:sz w:val="21"/>
          <w:szCs w:val="21"/>
        </w:rPr>
        <w:t>1.定义条款</w:t>
      </w:r>
    </w:p>
    <w:p>
      <w:pPr>
        <w:rPr>
          <w:sz w:val="21"/>
          <w:szCs w:val="21"/>
        </w:rPr>
      </w:pPr>
      <w:r>
        <w:rPr>
          <w:b/>
          <w:sz w:val="21"/>
          <w:szCs w:val="21"/>
        </w:rPr>
        <w:t>1.1.除非另有约定，本合同使用的下列术语应具有如下界定的含义：</w:t>
      </w:r>
    </w:p>
    <w:p>
      <w:pPr>
        <w:rPr>
          <w:sz w:val="21"/>
          <w:szCs w:val="21"/>
        </w:rPr>
      </w:pPr>
      <w:r>
        <w:rPr>
          <w:sz w:val="21"/>
          <w:szCs w:val="21"/>
        </w:rPr>
        <w:t>1.1.1.“合同”或“本合同”：指本合同正文和其附件，共同构成合同整体并相互补充；</w:t>
      </w:r>
    </w:p>
    <w:p>
      <w:pPr>
        <w:rPr>
          <w:sz w:val="21"/>
          <w:szCs w:val="21"/>
        </w:rPr>
      </w:pPr>
      <w:r>
        <w:rPr>
          <w:sz w:val="21"/>
          <w:szCs w:val="21"/>
        </w:rPr>
        <w:t>1.1.2.“交付成果”：指乙方根据本合同规定交付的服务成果，包括文库、测序数据或分析结果等；</w:t>
      </w:r>
    </w:p>
    <w:p>
      <w:pPr>
        <w:rPr>
          <w:sz w:val="21"/>
          <w:szCs w:val="21"/>
        </w:rPr>
      </w:pPr>
      <w:r>
        <w:rPr>
          <w:sz w:val="21"/>
          <w:szCs w:val="21"/>
        </w:rPr>
        <w:t>1.1.3.“技术障碍”：指在乙方现有条件下无法克服的技术问题，包括但不限于因合同约定的技术方法、技术路线、履行合同所使用的设备、仪器、软件等本身的缺陷或局限性、生物特性、生物个体差异性等导致的无法克服的技术问题。</w:t>
      </w:r>
    </w:p>
    <w:p>
      <w:pPr>
        <w:rPr>
          <w:sz w:val="21"/>
          <w:szCs w:val="21"/>
        </w:rPr>
      </w:pPr>
      <w:r>
        <w:rPr>
          <w:b/>
          <w:sz w:val="21"/>
          <w:szCs w:val="21"/>
        </w:rPr>
        <w:t>1.2.标题仅为方便参考而设，不影响本合同的解释和意义。</w:t>
      </w:r>
    </w:p>
    <w:p>
      <w:pPr>
        <w:rPr>
          <w:sz w:val="21"/>
          <w:szCs w:val="21"/>
        </w:rPr>
      </w:pPr>
      <w:r>
        <w:rPr>
          <w:b/>
          <w:sz w:val="21"/>
          <w:szCs w:val="21"/>
        </w:rPr>
        <w:t>2.组织质检和实验要求</w:t>
      </w:r>
    </w:p>
    <w:p>
      <w:pPr>
        <w:rPr>
          <w:sz w:val="21"/>
          <w:szCs w:val="21"/>
        </w:rPr>
      </w:pPr>
      <w:r>
        <w:rPr>
          <w:rFonts w:hint="eastAsia"/>
          <w:sz w:val="21"/>
          <w:szCs w:val="21"/>
        </w:rPr>
        <w:t>1. 组织质检要求：根据提供的新鲜组织，进行消化处理。质检要求：核悬液浓度：3000-5000 核/μL ；体积：＞50μL ；活性：＜5% ；结团率：＜5%，显微镜下无黏连细胞膜碎片，无结团细胞核；有核率：＞70% ；核膜完整性：＞90%，40 倍镜下完整细胞核轮廓完整，无不规则形状， 核内均一性好。</w:t>
      </w:r>
    </w:p>
    <w:p>
      <w:pPr>
        <w:rPr>
          <w:sz w:val="21"/>
          <w:szCs w:val="21"/>
        </w:rPr>
      </w:pPr>
      <w:r>
        <w:rPr>
          <w:rFonts w:hint="eastAsia"/>
          <w:sz w:val="21"/>
          <w:szCs w:val="21"/>
        </w:rPr>
        <w:t>2. 测序平台需求：要求使用Illumina NovaSeq 6000高通量测序平台进行测序；</w:t>
      </w:r>
    </w:p>
    <w:p>
      <w:pPr>
        <w:rPr>
          <w:sz w:val="21"/>
          <w:szCs w:val="21"/>
        </w:rPr>
      </w:pPr>
      <w:r>
        <w:rPr>
          <w:rFonts w:hint="eastAsia"/>
          <w:sz w:val="21"/>
          <w:szCs w:val="21"/>
        </w:rPr>
        <w:t>3. 测序质量要求：单细胞转录组测序策略，每例样本5000个细胞，120G，约</w:t>
      </w:r>
      <w:bookmarkStart w:id="1" w:name="OLE_LINK2"/>
      <w:r>
        <w:rPr>
          <w:rFonts w:hint="eastAsia"/>
          <w:sz w:val="21"/>
          <w:szCs w:val="21"/>
        </w:rPr>
        <w:t>10万Read pairs数/细胞</w:t>
      </w:r>
      <w:bookmarkEnd w:id="1"/>
      <w:r>
        <w:rPr>
          <w:rFonts w:hint="eastAsia"/>
          <w:sz w:val="21"/>
          <w:szCs w:val="21"/>
        </w:rPr>
        <w:t>；单细胞ATAC测序策略，建议每个样本测5000个细胞，25G，约5万Read pairs数/细胞。</w:t>
      </w:r>
    </w:p>
    <w:p>
      <w:pPr>
        <w:rPr>
          <w:sz w:val="21"/>
          <w:szCs w:val="21"/>
        </w:rPr>
      </w:pPr>
      <w:r>
        <w:rPr>
          <w:rFonts w:hint="eastAsia"/>
          <w:sz w:val="21"/>
          <w:szCs w:val="21"/>
        </w:rPr>
        <w:t>4 数据验收标准：交付所有测序原始数据以及clean data记录报告及结果；</w:t>
      </w:r>
    </w:p>
    <w:p>
      <w:pPr>
        <w:rPr>
          <w:sz w:val="21"/>
          <w:szCs w:val="21"/>
        </w:rPr>
      </w:pPr>
    </w:p>
    <w:p>
      <w:pPr>
        <w:rPr>
          <w:sz w:val="21"/>
          <w:szCs w:val="21"/>
        </w:rPr>
      </w:pPr>
      <w:r>
        <w:rPr>
          <w:b/>
          <w:sz w:val="21"/>
          <w:szCs w:val="21"/>
        </w:rPr>
        <w:t>3.甲乙双方已完全了解上述服务内容，并补充约定如下：</w:t>
      </w:r>
    </w:p>
    <w:p>
      <w:pPr>
        <w:rPr>
          <w:sz w:val="21"/>
          <w:szCs w:val="21"/>
        </w:rPr>
      </w:pPr>
      <w:r>
        <w:rPr>
          <w:sz w:val="21"/>
          <w:szCs w:val="21"/>
        </w:rPr>
        <w:t>1）在确保实验准确性和可靠性的前提下，有可能出现样品不能成功构建测序文库，其原因可能是样品的某些无法通过测序文库构建前的常规质检进行判断的特性（如含有核酸扩增抑制剂、盐类、糖类或蛋白污染，GC含量高等）。</w:t>
      </w:r>
    </w:p>
    <w:p>
      <w:pPr>
        <w:rPr>
          <w:sz w:val="21"/>
          <w:szCs w:val="21"/>
        </w:rPr>
      </w:pPr>
      <w:r>
        <w:rPr>
          <w:rFonts w:hint="eastAsia"/>
          <w:sz w:val="21"/>
          <w:szCs w:val="21"/>
        </w:rPr>
        <w:t>2）甲方使用乙方提供的实验结果发表文章、申请成果时，甲方要注明实验结果、数据来源于乙方，但乙方在本合同研究结果整理的科学论文中不予署名。</w:t>
      </w:r>
    </w:p>
    <w:p>
      <w:pPr>
        <w:rPr>
          <w:sz w:val="21"/>
          <w:szCs w:val="21"/>
        </w:rPr>
      </w:pPr>
      <w:r>
        <w:rPr>
          <w:b/>
          <w:sz w:val="21"/>
          <w:szCs w:val="21"/>
        </w:rPr>
        <w:t>4.工作内容及时间安排</w:t>
      </w:r>
    </w:p>
    <w:p>
      <w:pPr>
        <w:rPr>
          <w:sz w:val="21"/>
          <w:szCs w:val="21"/>
        </w:rPr>
      </w:pPr>
      <w:r>
        <w:rPr>
          <w:b/>
          <w:sz w:val="21"/>
          <w:szCs w:val="21"/>
        </w:rPr>
        <w:t>4.1.甲方</w:t>
      </w:r>
    </w:p>
    <w:p>
      <w:pPr>
        <w:rPr>
          <w:sz w:val="21"/>
          <w:szCs w:val="21"/>
        </w:rPr>
      </w:pPr>
      <w:r>
        <w:rPr>
          <w:b/>
          <w:sz w:val="21"/>
          <w:szCs w:val="21"/>
        </w:rPr>
        <w:t>4.1.1.送样：</w:t>
      </w:r>
    </w:p>
    <w:p>
      <w:pPr>
        <w:ind w:firstLine="420"/>
        <w:rPr>
          <w:sz w:val="21"/>
          <w:szCs w:val="21"/>
        </w:rPr>
      </w:pPr>
      <w:r>
        <w:rPr>
          <w:sz w:val="21"/>
          <w:szCs w:val="21"/>
        </w:rPr>
        <w:t>1）实验样品由乙方派人上门取样，样品运输费用和风险由乙方承担。</w:t>
      </w:r>
    </w:p>
    <w:p>
      <w:pPr>
        <w:ind w:firstLine="420"/>
        <w:rPr>
          <w:sz w:val="21"/>
          <w:szCs w:val="21"/>
        </w:rPr>
      </w:pPr>
      <w:r>
        <w:rPr>
          <w:sz w:val="21"/>
          <w:szCs w:val="21"/>
        </w:rPr>
        <w:t>2）甲方须仔细阅读乙方提供的样品采集操作指南，严格按照其方法进行样品的前期处理和包装，并且认真填写样品信息单确保样品所有信息的真实可靠性。</w:t>
      </w:r>
    </w:p>
    <w:p>
      <w:pPr>
        <w:rPr>
          <w:sz w:val="21"/>
          <w:szCs w:val="21"/>
        </w:rPr>
      </w:pPr>
      <w:r>
        <w:rPr>
          <w:b/>
          <w:sz w:val="21"/>
          <w:szCs w:val="21"/>
        </w:rPr>
        <w:t>4.1.2.时间安排：</w:t>
      </w:r>
    </w:p>
    <w:p>
      <w:pPr>
        <w:ind w:firstLine="420"/>
        <w:rPr>
          <w:sz w:val="21"/>
          <w:szCs w:val="21"/>
        </w:rPr>
      </w:pPr>
      <w:r>
        <w:rPr>
          <w:sz w:val="21"/>
          <w:szCs w:val="21"/>
        </w:rPr>
        <w:t>1）乙方在收到甲方提交的样本信息单后安排进行上门收样。</w:t>
      </w:r>
    </w:p>
    <w:p>
      <w:pPr>
        <w:ind w:firstLine="420"/>
        <w:rPr>
          <w:sz w:val="21"/>
          <w:szCs w:val="21"/>
        </w:rPr>
      </w:pPr>
      <w:r>
        <w:rPr>
          <w:sz w:val="21"/>
          <w:szCs w:val="21"/>
        </w:rPr>
        <w:t>2）样品通过消化、提核及质检，甲方确认建库要求后40个工作日内乙方完成测序分析（如需要个性化数据分析，服务周期相应延长）；若有反复（多次）实验，则合同完成的期限从实验进程中每次实验起始时间重新计算，乙方承诺在保证实验质量的基础上，从每次实验重新开始后的40个工作日内完成本次服务，若甲方需重新提供或追加样品，则服务周期各节点时间顺延（定制化分析内容的探讨及确定，甲方在项目开展前或全部标准分析完成后统一向乙方提出，由乙方评估后给出所需项目周期）</w:t>
      </w:r>
    </w:p>
    <w:p>
      <w:pPr>
        <w:rPr>
          <w:sz w:val="21"/>
          <w:szCs w:val="21"/>
        </w:rPr>
      </w:pPr>
      <w:r>
        <w:rPr>
          <w:b/>
          <w:sz w:val="21"/>
          <w:szCs w:val="21"/>
        </w:rPr>
        <w:t>4.2乙方</w:t>
      </w:r>
    </w:p>
    <w:p>
      <w:pPr>
        <w:rPr>
          <w:sz w:val="21"/>
          <w:szCs w:val="21"/>
        </w:rPr>
      </w:pPr>
      <w:r>
        <w:rPr>
          <w:b/>
          <w:sz w:val="21"/>
          <w:szCs w:val="21"/>
        </w:rPr>
        <w:t>4.2.1工作内容:</w:t>
      </w:r>
    </w:p>
    <w:p>
      <w:pPr>
        <w:rPr>
          <w:sz w:val="21"/>
          <w:szCs w:val="21"/>
        </w:rPr>
      </w:pPr>
      <w:r>
        <w:rPr>
          <w:b/>
          <w:sz w:val="21"/>
          <w:szCs w:val="21"/>
        </w:rPr>
        <w:t>1）质检：</w:t>
      </w:r>
      <w:r>
        <w:rPr>
          <w:sz w:val="21"/>
          <w:szCs w:val="21"/>
        </w:rPr>
        <w:t>乙方因质检而引起的对甲方样品的合理动用，不承担赔偿责任。样品合格与否的判定，以乙方的质检结果或双方确定的检测机构为准。其他的一切均不能作为依据。</w:t>
      </w:r>
    </w:p>
    <w:p>
      <w:pPr>
        <w:rPr>
          <w:sz w:val="21"/>
          <w:szCs w:val="21"/>
        </w:rPr>
      </w:pPr>
      <w:r>
        <w:rPr>
          <w:b/>
          <w:sz w:val="21"/>
          <w:szCs w:val="21"/>
        </w:rPr>
        <w:t>2）样品保存：</w:t>
      </w:r>
      <w:r>
        <w:rPr>
          <w:sz w:val="21"/>
          <w:szCs w:val="21"/>
        </w:rPr>
        <w:t>乙方不负有长期保存甲方样品的责任，并有权定期清理或返还质量不合格的样品或是实验已完成的样品。乙方应对清理或返还事项提前通知甲方。双方就样品保存、处置、及返还约定如下，</w:t>
      </w:r>
    </w:p>
    <w:p>
      <w:pPr>
        <w:rPr>
          <w:sz w:val="21"/>
          <w:szCs w:val="21"/>
        </w:rPr>
      </w:pPr>
      <w:r>
        <w:rPr>
          <w:sz w:val="21"/>
          <w:szCs w:val="21"/>
        </w:rPr>
        <w:t>1)对于质检不合格的样品，乙方将在质检报告发出之日起保存样品一周，若甲方没有在前述一周内邮件和乙方确认样品返还或是继续使用，乙方将一律对此类样品返还。</w:t>
      </w:r>
    </w:p>
    <w:p>
      <w:pPr>
        <w:rPr>
          <w:sz w:val="21"/>
          <w:szCs w:val="21"/>
        </w:rPr>
      </w:pPr>
      <w:r>
        <w:rPr>
          <w:sz w:val="21"/>
          <w:szCs w:val="21"/>
        </w:rPr>
        <w:t>2）若因甲方没有在规定时间内提出样品处置申请而造成的样品损失，乙方不承担相关责任。</w:t>
      </w:r>
    </w:p>
    <w:p>
      <w:pPr>
        <w:rPr>
          <w:sz w:val="21"/>
          <w:szCs w:val="21"/>
        </w:rPr>
      </w:pPr>
      <w:r>
        <w:rPr>
          <w:sz w:val="21"/>
          <w:szCs w:val="21"/>
        </w:rPr>
        <w:t>3)甲方要求样品返还时，准确填写乙方的《样品返还表》，以邮件方式发给乙方相关人员并确认。</w:t>
      </w:r>
    </w:p>
    <w:p>
      <w:pPr>
        <w:rPr>
          <w:sz w:val="21"/>
          <w:szCs w:val="21"/>
        </w:rPr>
      </w:pPr>
      <w:r>
        <w:rPr>
          <w:sz w:val="21"/>
          <w:szCs w:val="21"/>
        </w:rPr>
        <w:t>对于质检合格的样品，乙方将在分析完成日起继续保存样品六周。</w:t>
      </w:r>
    </w:p>
    <w:p>
      <w:pPr>
        <w:rPr>
          <w:sz w:val="21"/>
          <w:szCs w:val="21"/>
        </w:rPr>
      </w:pPr>
      <w:r>
        <w:rPr>
          <w:b/>
          <w:sz w:val="21"/>
          <w:szCs w:val="21"/>
        </w:rPr>
        <w:t>交货方式：</w:t>
      </w:r>
      <w:r>
        <w:rPr>
          <w:sz w:val="21"/>
          <w:szCs w:val="21"/>
        </w:rPr>
        <w:t>乙方向甲方提交项目结题报告，说明项目完成情况；测序过程中产生的序列文件*.fq（或*.fa）和相关生物信息分析结果文件，如果数据量小于10G，甲方可通过云平台链接进行数据下载；如甲方因网络等原因无法顺利下载，乙方应自行提供U盘或移动硬盘传输。如果数据量大于10G，所有数据将会使用U盘或移动硬盘传输数据。</w:t>
      </w:r>
    </w:p>
    <w:p>
      <w:pPr>
        <w:rPr>
          <w:sz w:val="21"/>
          <w:szCs w:val="21"/>
        </w:rPr>
      </w:pPr>
      <w:r>
        <w:rPr>
          <w:b/>
          <w:sz w:val="21"/>
          <w:szCs w:val="21"/>
        </w:rPr>
        <w:t>5.售后服务</w:t>
      </w:r>
    </w:p>
    <w:p>
      <w:pPr>
        <w:rPr>
          <w:sz w:val="21"/>
          <w:szCs w:val="21"/>
        </w:rPr>
      </w:pPr>
      <w:r>
        <w:rPr>
          <w:sz w:val="21"/>
          <w:szCs w:val="21"/>
        </w:rPr>
        <w:t>1)甲方收到交付成果后，如有异议在30个自然日内及时向乙方反馈。</w:t>
      </w:r>
    </w:p>
    <w:p>
      <w:pPr>
        <w:rPr>
          <w:sz w:val="21"/>
          <w:szCs w:val="21"/>
        </w:rPr>
      </w:pPr>
      <w:r>
        <w:rPr>
          <w:sz w:val="21"/>
          <w:szCs w:val="21"/>
        </w:rPr>
        <w:t>2)乙方应配备专门的售后服务人员：含售后直接对接技术人员1名，生信分析人员1名，项目流程管理人员1名，项目责任人1名。</w:t>
      </w:r>
    </w:p>
    <w:p>
      <w:pPr>
        <w:rPr>
          <w:sz w:val="21"/>
          <w:szCs w:val="21"/>
        </w:rPr>
      </w:pPr>
      <w:r>
        <w:rPr>
          <w:sz w:val="21"/>
          <w:szCs w:val="21"/>
        </w:rPr>
        <w:t>3)售后对接方式不局限于：电话、邮件、微信群、腾讯会议、现场拜访等。</w:t>
      </w:r>
    </w:p>
    <w:p>
      <w:pPr>
        <w:rPr>
          <w:sz w:val="21"/>
          <w:szCs w:val="21"/>
        </w:rPr>
      </w:pPr>
      <w:r>
        <w:rPr>
          <w:sz w:val="21"/>
          <w:szCs w:val="21"/>
        </w:rPr>
        <w:t>4)售后提供免费专业技术咨询服务。</w:t>
      </w:r>
    </w:p>
    <w:p>
      <w:pPr>
        <w:rPr>
          <w:sz w:val="21"/>
          <w:szCs w:val="21"/>
        </w:rPr>
      </w:pPr>
      <w:r>
        <w:rPr>
          <w:sz w:val="21"/>
          <w:szCs w:val="21"/>
        </w:rPr>
        <w:t>5)售后提供客户实现自主分析的云平台工具。</w:t>
      </w:r>
    </w:p>
    <w:p>
      <w:pPr>
        <w:rPr>
          <w:sz w:val="21"/>
          <w:szCs w:val="21"/>
        </w:rPr>
      </w:pPr>
      <w:r>
        <w:rPr>
          <w:b/>
          <w:sz w:val="21"/>
          <w:szCs w:val="21"/>
        </w:rPr>
        <w:t>6.报酬及其支付方式</w:t>
      </w:r>
    </w:p>
    <w:p>
      <w:pPr>
        <w:rPr>
          <w:rFonts w:hint="default" w:eastAsia="宋体"/>
          <w:sz w:val="21"/>
          <w:szCs w:val="21"/>
          <w:lang w:val="en-US" w:eastAsia="zh-CN"/>
        </w:rPr>
      </w:pPr>
      <w:r>
        <w:rPr>
          <w:sz w:val="21"/>
          <w:szCs w:val="21"/>
        </w:rPr>
        <w:t>6.</w:t>
      </w:r>
      <w:r>
        <w:rPr>
          <w:rFonts w:hint="eastAsia"/>
          <w:sz w:val="21"/>
          <w:szCs w:val="21"/>
          <w:lang w:val="en-US" w:eastAsia="zh-CN"/>
        </w:rPr>
        <w:t>1</w:t>
      </w:r>
      <w:r>
        <w:rPr>
          <w:sz w:val="21"/>
          <w:szCs w:val="21"/>
        </w:rPr>
        <w:t>.支付方式：</w:t>
      </w:r>
      <w:r>
        <w:rPr>
          <w:rFonts w:hint="eastAsia"/>
          <w:sz w:val="21"/>
          <w:szCs w:val="21"/>
          <w:lang w:val="en-US" w:eastAsia="zh-CN"/>
        </w:rPr>
        <w:t>项目验收完成后支付全款。</w:t>
      </w:r>
    </w:p>
    <w:p>
      <w:pPr>
        <w:rPr>
          <w:sz w:val="21"/>
          <w:szCs w:val="21"/>
        </w:rPr>
      </w:pPr>
      <w:r>
        <w:rPr>
          <w:sz w:val="21"/>
          <w:szCs w:val="21"/>
        </w:rPr>
        <w:t>6.</w:t>
      </w:r>
      <w:r>
        <w:rPr>
          <w:rFonts w:hint="eastAsia"/>
          <w:sz w:val="21"/>
          <w:szCs w:val="21"/>
          <w:lang w:val="en-US" w:eastAsia="zh-CN"/>
        </w:rPr>
        <w:t>2</w:t>
      </w:r>
      <w:r>
        <w:rPr>
          <w:sz w:val="21"/>
          <w:szCs w:val="21"/>
        </w:rPr>
        <w:t>.乙方须提前提供合法有效的等额增值税普通发票，否则甲方有权顺延付款，无需承担任何迟延付款责任。如乙方不履行或不适当履行本合同项下义务的，甲方有权不支付或顺延支付款项，若未支付款项不足以弥补甲方因乙方不履行或不适当履行本合同项下义务所造成的损失的，乙方应另行赔偿甲方的损失。</w:t>
      </w:r>
    </w:p>
    <w:p>
      <w:pPr>
        <w:rPr>
          <w:sz w:val="21"/>
          <w:szCs w:val="21"/>
        </w:rPr>
      </w:pPr>
      <w:r>
        <w:rPr>
          <w:sz w:val="21"/>
          <w:szCs w:val="21"/>
        </w:rPr>
        <w:t>6.</w:t>
      </w:r>
      <w:r>
        <w:rPr>
          <w:rFonts w:hint="eastAsia"/>
          <w:sz w:val="21"/>
          <w:szCs w:val="21"/>
          <w:lang w:val="en-US" w:eastAsia="zh-CN"/>
        </w:rPr>
        <w:t>3</w:t>
      </w:r>
      <w:r>
        <w:rPr>
          <w:sz w:val="21"/>
          <w:szCs w:val="21"/>
        </w:rPr>
        <w:t>.乙方向甲方开具发票的信息：</w:t>
      </w:r>
    </w:p>
    <w:p>
      <w:pPr>
        <w:ind w:firstLine="420"/>
        <w:rPr>
          <w:sz w:val="21"/>
          <w:szCs w:val="21"/>
        </w:rPr>
      </w:pPr>
      <w:r>
        <w:rPr>
          <w:sz w:val="21"/>
          <w:szCs w:val="21"/>
        </w:rPr>
        <w:t>单位名称：汕头大学医学院</w:t>
      </w:r>
    </w:p>
    <w:p>
      <w:pPr>
        <w:ind w:firstLine="420"/>
        <w:rPr>
          <w:sz w:val="21"/>
          <w:szCs w:val="21"/>
        </w:rPr>
      </w:pPr>
      <w:r>
        <w:rPr>
          <w:sz w:val="21"/>
          <w:szCs w:val="21"/>
        </w:rPr>
        <w:t>纳税人识别号：12440000455861456K</w:t>
      </w:r>
    </w:p>
    <w:p>
      <w:pPr>
        <w:ind w:firstLine="420"/>
        <w:rPr>
          <w:sz w:val="21"/>
          <w:szCs w:val="21"/>
        </w:rPr>
      </w:pPr>
      <w:r>
        <w:rPr>
          <w:sz w:val="21"/>
          <w:szCs w:val="21"/>
        </w:rPr>
        <w:t>地址：汕头市新陵路22号</w:t>
      </w:r>
    </w:p>
    <w:p>
      <w:pPr>
        <w:tabs>
          <w:tab w:val="left" w:pos="540"/>
        </w:tabs>
        <w:spacing w:line="300" w:lineRule="exact"/>
        <w:ind w:firstLine="524" w:firstLineChars="200"/>
        <w:jc w:val="left"/>
        <w:rPr>
          <w:rFonts w:eastAsia="仿宋_GB2312"/>
          <w:color w:val="0D0D0D" w:themeColor="text1" w:themeTint="F2"/>
          <w:sz w:val="21"/>
          <w:szCs w:val="21"/>
          <w14:textFill>
            <w14:solidFill>
              <w14:schemeClr w14:val="tx1">
                <w14:lumMod w14:val="95000"/>
                <w14:lumOff w14:val="5000"/>
              </w14:schemeClr>
            </w14:solidFill>
          </w14:textFill>
        </w:rPr>
      </w:pPr>
      <w:r>
        <w:rPr>
          <w:rFonts w:hint="eastAsia" w:eastAsia="仿宋_GB2312"/>
          <w:color w:val="0D0D0D" w:themeColor="text1" w:themeTint="F2"/>
          <w:sz w:val="21"/>
          <w:szCs w:val="21"/>
          <w14:textFill>
            <w14:solidFill>
              <w14:schemeClr w14:val="tx1">
                <w14:lumMod w14:val="95000"/>
                <w14:lumOff w14:val="5000"/>
              </w14:schemeClr>
            </w14:solidFill>
          </w14:textFill>
        </w:rPr>
        <w:t>电话号码：0754-88900477</w:t>
      </w:r>
    </w:p>
    <w:p>
      <w:pPr>
        <w:ind w:firstLine="420"/>
        <w:rPr>
          <w:sz w:val="21"/>
          <w:szCs w:val="21"/>
        </w:rPr>
      </w:pPr>
      <w:r>
        <w:rPr>
          <w:sz w:val="21"/>
          <w:szCs w:val="21"/>
        </w:rPr>
        <w:t>开户行：中国银行汕头嘉泰支行</w:t>
      </w:r>
    </w:p>
    <w:p>
      <w:pPr>
        <w:ind w:firstLine="420"/>
        <w:rPr>
          <w:sz w:val="21"/>
          <w:szCs w:val="21"/>
        </w:rPr>
      </w:pPr>
      <w:r>
        <w:rPr>
          <w:sz w:val="21"/>
          <w:szCs w:val="21"/>
        </w:rPr>
        <w:t>开户行账号：705557744822</w:t>
      </w:r>
    </w:p>
    <w:p>
      <w:pPr>
        <w:rPr>
          <w:sz w:val="21"/>
          <w:szCs w:val="21"/>
        </w:rPr>
      </w:pPr>
      <w:r>
        <w:rPr>
          <w:sz w:val="21"/>
          <w:szCs w:val="21"/>
        </w:rPr>
        <w:t>6.</w:t>
      </w:r>
      <w:r>
        <w:rPr>
          <w:rFonts w:hint="eastAsia"/>
          <w:sz w:val="21"/>
          <w:szCs w:val="21"/>
          <w:lang w:val="en-US" w:eastAsia="zh-CN"/>
        </w:rPr>
        <w:t>4</w:t>
      </w:r>
      <w:r>
        <w:rPr>
          <w:sz w:val="21"/>
          <w:szCs w:val="21"/>
        </w:rPr>
        <w:t>.乙方指定银行转账方式结算，且指定以下账户为唯一收款账户：</w:t>
      </w:r>
    </w:p>
    <w:p>
      <w:pPr>
        <w:tabs>
          <w:tab w:val="left" w:pos="540"/>
        </w:tabs>
        <w:spacing w:line="300" w:lineRule="exact"/>
        <w:jc w:val="left"/>
        <w:rPr>
          <w:color w:val="0C0C0C"/>
          <w:sz w:val="21"/>
          <w:szCs w:val="21"/>
        </w:rPr>
      </w:pPr>
      <w:r>
        <w:rPr>
          <w:color w:val="0C0C0C"/>
          <w:sz w:val="21"/>
          <w:szCs w:val="21"/>
        </w:rPr>
        <w:t>乙方名称：</w:t>
      </w:r>
    </w:p>
    <w:p>
      <w:pPr>
        <w:rPr>
          <w:color w:val="0C0C0C"/>
          <w:sz w:val="21"/>
          <w:szCs w:val="21"/>
        </w:rPr>
      </w:pPr>
      <w:r>
        <w:rPr>
          <w:color w:val="0C0C0C"/>
          <w:sz w:val="21"/>
          <w:szCs w:val="21"/>
        </w:rPr>
        <w:t>乙方账号：</w:t>
      </w:r>
    </w:p>
    <w:p>
      <w:pPr>
        <w:rPr>
          <w:color w:val="0C0C0C"/>
          <w:sz w:val="21"/>
          <w:szCs w:val="21"/>
        </w:rPr>
      </w:pPr>
      <w:r>
        <w:rPr>
          <w:color w:val="0C0C0C"/>
          <w:sz w:val="21"/>
          <w:szCs w:val="21"/>
        </w:rPr>
        <w:t>乙方开户银行：</w:t>
      </w:r>
    </w:p>
    <w:p>
      <w:pPr>
        <w:rPr>
          <w:sz w:val="21"/>
          <w:szCs w:val="21"/>
        </w:rPr>
      </w:pPr>
      <w:r>
        <w:rPr>
          <w:sz w:val="21"/>
          <w:szCs w:val="21"/>
        </w:rPr>
        <w:t>甲方向上述账户汇出款项后，即视为已履行付款义务，在汇款过程中，因乙方账户的原因（包括但不限于账号被注销、被冻结等）导致其无法收取款项的，由乙方承担相应后果，甲方对此不承担任何责任。</w:t>
      </w:r>
    </w:p>
    <w:p>
      <w:pPr>
        <w:rPr>
          <w:sz w:val="21"/>
          <w:szCs w:val="21"/>
        </w:rPr>
      </w:pPr>
      <w:r>
        <w:rPr>
          <w:b/>
          <w:sz w:val="21"/>
          <w:szCs w:val="21"/>
        </w:rPr>
        <w:t>7.甲方责任</w:t>
      </w:r>
    </w:p>
    <w:p>
      <w:pPr>
        <w:ind w:firstLine="480"/>
        <w:rPr>
          <w:sz w:val="21"/>
          <w:szCs w:val="21"/>
        </w:rPr>
      </w:pPr>
      <w:r>
        <w:rPr>
          <w:sz w:val="21"/>
          <w:szCs w:val="21"/>
        </w:rPr>
        <w:t xml:space="preserve">7.1.甲方提供的样品不符合乙方要求（包括但不限于样品制备不符合本合同要求、达不到测序标准、样品污染、样品损坏等）导致合同终止时，甲方按照乙方实际工作量以合同约定价格支付该部分费用。  </w:t>
      </w:r>
    </w:p>
    <w:p>
      <w:pPr>
        <w:ind w:firstLine="480"/>
        <w:rPr>
          <w:sz w:val="21"/>
          <w:szCs w:val="21"/>
        </w:rPr>
      </w:pPr>
      <w:r>
        <w:rPr>
          <w:sz w:val="21"/>
          <w:szCs w:val="21"/>
        </w:rPr>
        <w:t>7.2.　甲方迟延提供、不能或不提供本合同中约定的技术资料、样品材料等，导致项目或合同中止或终止时，甲方应按合同约定价格支付乙方实际发生的该部分费用。</w:t>
      </w:r>
    </w:p>
    <w:p>
      <w:pPr>
        <w:numPr>
          <w:ilvl w:val="255"/>
          <w:numId w:val="0"/>
        </w:numPr>
        <w:tabs>
          <w:tab w:val="left" w:pos="540"/>
        </w:tabs>
        <w:spacing w:line="300" w:lineRule="exact"/>
        <w:ind w:left="180"/>
        <w:jc w:val="left"/>
        <w:rPr>
          <w:rFonts w:eastAsia="仿宋_GB2312"/>
          <w:color w:val="000000"/>
          <w:sz w:val="21"/>
          <w:szCs w:val="21"/>
        </w:rPr>
      </w:pPr>
      <w:r>
        <w:rPr>
          <w:sz w:val="21"/>
          <w:szCs w:val="21"/>
        </w:rPr>
        <w:t>7.3.　甲方应履行以下保密义务：</w:t>
      </w:r>
    </w:p>
    <w:p>
      <w:pPr>
        <w:numPr>
          <w:ilvl w:val="255"/>
          <w:numId w:val="0"/>
        </w:numPr>
        <w:ind w:firstLine="570"/>
        <w:jc w:val="left"/>
        <w:rPr>
          <w:color w:val="0070C0"/>
          <w:sz w:val="21"/>
          <w:szCs w:val="21"/>
        </w:rPr>
      </w:pPr>
      <w:r>
        <w:rPr>
          <w:color w:val="0070C0"/>
          <w:sz w:val="21"/>
          <w:szCs w:val="21"/>
        </w:rPr>
        <w:t xml:space="preserve">7.3.1乙方所提供的实验结果、数据适用范围仅限于科学研究。 </w:t>
      </w:r>
    </w:p>
    <w:p>
      <w:pPr>
        <w:ind w:firstLine="570"/>
        <w:rPr>
          <w:color w:val="0070C0"/>
          <w:sz w:val="21"/>
          <w:szCs w:val="21"/>
        </w:rPr>
      </w:pPr>
      <w:r>
        <w:rPr>
          <w:color w:val="0070C0"/>
          <w:sz w:val="21"/>
          <w:szCs w:val="21"/>
        </w:rPr>
        <w:t>7.3.2在合同履行期间和履行完毕后，甲方应对技术服务合同内容履行保密义务</w:t>
      </w:r>
      <w:r>
        <w:rPr>
          <w:rFonts w:ascii="Times New Roman" w:hAnsi="Times New Roman" w:eastAsia="仿宋_GB2312"/>
          <w:color w:val="0070C0"/>
          <w:sz w:val="21"/>
          <w:szCs w:val="21"/>
        </w:rPr>
        <w:t>。</w:t>
      </w:r>
    </w:p>
    <w:p>
      <w:pPr>
        <w:ind w:firstLine="570"/>
        <w:rPr>
          <w:sz w:val="21"/>
          <w:szCs w:val="21"/>
        </w:rPr>
      </w:pPr>
      <w:r>
        <w:rPr>
          <w:sz w:val="21"/>
          <w:szCs w:val="21"/>
        </w:rPr>
        <w:t>7.3.</w:t>
      </w:r>
      <w:r>
        <w:rPr>
          <w:rFonts w:hint="eastAsia"/>
          <w:sz w:val="21"/>
          <w:szCs w:val="21"/>
        </w:rPr>
        <w:t>3</w:t>
      </w:r>
      <w:r>
        <w:rPr>
          <w:sz w:val="21"/>
          <w:szCs w:val="21"/>
        </w:rPr>
        <w:t>.　涉密人员范围：</w:t>
      </w:r>
      <w:r>
        <w:rPr>
          <w:sz w:val="21"/>
          <w:szCs w:val="21"/>
          <w:u w:val="single"/>
        </w:rPr>
        <w:t>参与项目所有人员。</w:t>
      </w:r>
    </w:p>
    <w:p>
      <w:pPr>
        <w:ind w:firstLine="570"/>
        <w:rPr>
          <w:sz w:val="21"/>
          <w:szCs w:val="21"/>
        </w:rPr>
      </w:pPr>
      <w:r>
        <w:rPr>
          <w:sz w:val="21"/>
          <w:szCs w:val="21"/>
        </w:rPr>
        <w:t>7.3.</w:t>
      </w:r>
      <w:r>
        <w:rPr>
          <w:rFonts w:hint="eastAsia"/>
          <w:sz w:val="21"/>
          <w:szCs w:val="21"/>
        </w:rPr>
        <w:t>4</w:t>
      </w:r>
      <w:r>
        <w:rPr>
          <w:sz w:val="21"/>
          <w:szCs w:val="21"/>
        </w:rPr>
        <w:t>　保密期限：</w:t>
      </w:r>
      <w:r>
        <w:rPr>
          <w:sz w:val="21"/>
          <w:szCs w:val="21"/>
          <w:u w:val="single"/>
        </w:rPr>
        <w:t>自合同生效日起长期。</w:t>
      </w:r>
    </w:p>
    <w:p>
      <w:pPr>
        <w:ind w:firstLine="570"/>
        <w:rPr>
          <w:sz w:val="21"/>
          <w:szCs w:val="21"/>
        </w:rPr>
      </w:pPr>
      <w:r>
        <w:rPr>
          <w:sz w:val="21"/>
          <w:szCs w:val="21"/>
        </w:rPr>
        <w:t>7.3.</w:t>
      </w:r>
      <w:r>
        <w:rPr>
          <w:rFonts w:hint="eastAsia"/>
          <w:sz w:val="21"/>
          <w:szCs w:val="21"/>
        </w:rPr>
        <w:t>5</w:t>
      </w:r>
      <w:r>
        <w:rPr>
          <w:sz w:val="21"/>
          <w:szCs w:val="21"/>
        </w:rPr>
        <w:t>.　泄密责任：</w:t>
      </w:r>
      <w:r>
        <w:rPr>
          <w:sz w:val="21"/>
          <w:szCs w:val="21"/>
          <w:u w:val="single"/>
        </w:rPr>
        <w:t>一切责任由泄密方承担。</w:t>
      </w:r>
    </w:p>
    <w:p>
      <w:pPr>
        <w:ind w:firstLine="480"/>
        <w:rPr>
          <w:sz w:val="21"/>
          <w:szCs w:val="21"/>
        </w:rPr>
      </w:pPr>
      <w:r>
        <w:rPr>
          <w:sz w:val="21"/>
          <w:szCs w:val="21"/>
        </w:rPr>
        <w:t>7.4.　乙方的检测结果根据甲方提供的材料及样本做出，对甲方提供的材料及样本来源不承担任何审查义务及法律责任，如因甲方提供的材料及样品等导致乙方面对任何索赔、指控时，甲方应承担相应法律责任。</w:t>
      </w:r>
    </w:p>
    <w:p>
      <w:pPr>
        <w:ind w:firstLine="480"/>
        <w:rPr>
          <w:sz w:val="21"/>
          <w:szCs w:val="21"/>
        </w:rPr>
      </w:pPr>
      <w:r>
        <w:rPr>
          <w:sz w:val="21"/>
          <w:szCs w:val="21"/>
        </w:rPr>
        <w:t>7.5.　如因非乙方原因导致合同执行中止时，甲方应根据合同约定价格按照乙方实际执行的工作量支付该部分费用。</w:t>
      </w:r>
    </w:p>
    <w:p>
      <w:pPr>
        <w:rPr>
          <w:sz w:val="21"/>
          <w:szCs w:val="21"/>
        </w:rPr>
      </w:pPr>
      <w:r>
        <w:rPr>
          <w:b/>
          <w:sz w:val="21"/>
          <w:szCs w:val="21"/>
        </w:rPr>
        <w:t>8.乙方责任</w:t>
      </w:r>
    </w:p>
    <w:p>
      <w:pPr>
        <w:ind w:firstLine="480"/>
        <w:rPr>
          <w:sz w:val="21"/>
          <w:szCs w:val="21"/>
        </w:rPr>
      </w:pPr>
      <w:r>
        <w:rPr>
          <w:sz w:val="21"/>
          <w:szCs w:val="21"/>
        </w:rPr>
        <w:t>8.1.　乙方应保证项目如期完成，如因乙方过错或过失导致项目迟延或终止时，乙方应及时与甲方沟通，协商处理方式，并避免甲方损失进一步扩大。如因乙方原因导致项目失败或无法达到合同目的，乙方应承担全部责任并退还甲方已付全部款项。同时，乙方应赔偿包括但不限于甲方前期所投入的人力财力损失等费用。</w:t>
      </w:r>
    </w:p>
    <w:p>
      <w:pPr>
        <w:ind w:firstLine="480"/>
        <w:rPr>
          <w:sz w:val="21"/>
          <w:szCs w:val="21"/>
        </w:rPr>
      </w:pPr>
      <w:r>
        <w:rPr>
          <w:sz w:val="21"/>
          <w:szCs w:val="21"/>
        </w:rPr>
        <w:t>8.2.　如因乙方过错或过失导致提供的项目成果不符合双方约定时，乙方应在甲方要求的期限内容重新提供符合约定的成果。</w:t>
      </w:r>
    </w:p>
    <w:p>
      <w:pPr>
        <w:ind w:firstLine="480"/>
        <w:rPr>
          <w:color w:val="0070C0"/>
          <w:sz w:val="21"/>
          <w:szCs w:val="21"/>
        </w:rPr>
      </w:pPr>
      <w:r>
        <w:rPr>
          <w:color w:val="0070C0"/>
          <w:sz w:val="21"/>
          <w:szCs w:val="21"/>
        </w:rPr>
        <w:t>8.3.　乙方应履行以下保密义务：</w:t>
      </w:r>
    </w:p>
    <w:p>
      <w:pPr>
        <w:ind w:firstLine="720"/>
        <w:rPr>
          <w:color w:val="0070C0"/>
          <w:sz w:val="21"/>
          <w:szCs w:val="21"/>
        </w:rPr>
      </w:pPr>
      <w:r>
        <w:rPr>
          <w:color w:val="0070C0"/>
          <w:sz w:val="21"/>
          <w:szCs w:val="21"/>
        </w:rPr>
        <w:t>8.3.1.　乙方所提供的实验结果、数据适用范围仅限于科学研究</w:t>
      </w:r>
    </w:p>
    <w:p>
      <w:pPr>
        <w:ind w:firstLine="720"/>
        <w:rPr>
          <w:color w:val="0070C0"/>
          <w:sz w:val="21"/>
          <w:szCs w:val="21"/>
        </w:rPr>
      </w:pPr>
      <w:r>
        <w:rPr>
          <w:color w:val="0070C0"/>
          <w:sz w:val="21"/>
          <w:szCs w:val="21"/>
        </w:rPr>
        <w:t>8.3.</w:t>
      </w:r>
      <w:r>
        <w:rPr>
          <w:rFonts w:hint="eastAsia"/>
          <w:color w:val="0070C0"/>
          <w:sz w:val="21"/>
          <w:szCs w:val="21"/>
        </w:rPr>
        <w:t>2</w:t>
      </w:r>
      <w:r>
        <w:rPr>
          <w:color w:val="0070C0"/>
          <w:sz w:val="21"/>
          <w:szCs w:val="21"/>
        </w:rPr>
        <w:t>. 　在合同履行期间和履行完毕后，乙方应对技术服务合同内容履行保密义务</w:t>
      </w:r>
      <w:r>
        <w:rPr>
          <w:rFonts w:ascii="Times New Roman" w:hAnsi="Times New Roman" w:eastAsia="仿宋_GB2312"/>
          <w:color w:val="0070C0"/>
          <w:sz w:val="21"/>
          <w:szCs w:val="21"/>
        </w:rPr>
        <w:t>。</w:t>
      </w:r>
    </w:p>
    <w:p>
      <w:pPr>
        <w:ind w:firstLine="720"/>
        <w:rPr>
          <w:color w:val="0D0D0D" w:themeColor="text1" w:themeTint="F2"/>
          <w:sz w:val="21"/>
          <w:szCs w:val="21"/>
          <w14:textFill>
            <w14:solidFill>
              <w14:schemeClr w14:val="tx1">
                <w14:lumMod w14:val="95000"/>
                <w14:lumOff w14:val="5000"/>
              </w14:schemeClr>
            </w14:solidFill>
          </w14:textFill>
        </w:rPr>
      </w:pPr>
      <w:r>
        <w:rPr>
          <w:color w:val="0D0D0D" w:themeColor="text1" w:themeTint="F2"/>
          <w:sz w:val="21"/>
          <w:szCs w:val="21"/>
          <w14:textFill>
            <w14:solidFill>
              <w14:schemeClr w14:val="tx1">
                <w14:lumMod w14:val="95000"/>
                <w14:lumOff w14:val="5000"/>
              </w14:schemeClr>
            </w14:solidFill>
          </w14:textFill>
        </w:rPr>
        <w:t>8.3.</w:t>
      </w:r>
      <w:r>
        <w:rPr>
          <w:rFonts w:hint="eastAsia"/>
          <w:color w:val="0D0D0D" w:themeColor="text1" w:themeTint="F2"/>
          <w:sz w:val="21"/>
          <w:szCs w:val="21"/>
          <w14:textFill>
            <w14:solidFill>
              <w14:schemeClr w14:val="tx1">
                <w14:lumMod w14:val="95000"/>
                <w14:lumOff w14:val="5000"/>
              </w14:schemeClr>
            </w14:solidFill>
          </w14:textFill>
        </w:rPr>
        <w:t>3</w:t>
      </w:r>
      <w:r>
        <w:rPr>
          <w:color w:val="0D0D0D" w:themeColor="text1" w:themeTint="F2"/>
          <w:sz w:val="21"/>
          <w:szCs w:val="21"/>
          <w14:textFill>
            <w14:solidFill>
              <w14:schemeClr w14:val="tx1">
                <w14:lumMod w14:val="95000"/>
                <w14:lumOff w14:val="5000"/>
              </w14:schemeClr>
            </w14:solidFill>
          </w14:textFill>
        </w:rPr>
        <w:t>.　涉密人员范围：</w:t>
      </w:r>
      <w:r>
        <w:rPr>
          <w:color w:val="0D0D0D" w:themeColor="text1" w:themeTint="F2"/>
          <w:sz w:val="21"/>
          <w:szCs w:val="21"/>
          <w:u w:val="single"/>
          <w14:textFill>
            <w14:solidFill>
              <w14:schemeClr w14:val="tx1">
                <w14:lumMod w14:val="95000"/>
                <w14:lumOff w14:val="5000"/>
              </w14:schemeClr>
            </w14:solidFill>
          </w14:textFill>
        </w:rPr>
        <w:t>参与项目所有人员。</w:t>
      </w:r>
    </w:p>
    <w:p>
      <w:pPr>
        <w:ind w:firstLine="720"/>
        <w:rPr>
          <w:color w:val="0D0D0D" w:themeColor="text1" w:themeTint="F2"/>
          <w:sz w:val="21"/>
          <w:szCs w:val="21"/>
          <w14:textFill>
            <w14:solidFill>
              <w14:schemeClr w14:val="tx1">
                <w14:lumMod w14:val="95000"/>
                <w14:lumOff w14:val="5000"/>
              </w14:schemeClr>
            </w14:solidFill>
          </w14:textFill>
        </w:rPr>
      </w:pPr>
      <w:r>
        <w:rPr>
          <w:color w:val="0D0D0D" w:themeColor="text1" w:themeTint="F2"/>
          <w:sz w:val="21"/>
          <w:szCs w:val="21"/>
          <w14:textFill>
            <w14:solidFill>
              <w14:schemeClr w14:val="tx1">
                <w14:lumMod w14:val="95000"/>
                <w14:lumOff w14:val="5000"/>
              </w14:schemeClr>
            </w14:solidFill>
          </w14:textFill>
        </w:rPr>
        <w:t>8.3</w:t>
      </w:r>
      <w:r>
        <w:rPr>
          <w:rFonts w:hint="eastAsia"/>
          <w:color w:val="0D0D0D" w:themeColor="text1" w:themeTint="F2"/>
          <w:sz w:val="21"/>
          <w:szCs w:val="21"/>
          <w14:textFill>
            <w14:solidFill>
              <w14:schemeClr w14:val="tx1">
                <w14:lumMod w14:val="95000"/>
                <w14:lumOff w14:val="5000"/>
              </w14:schemeClr>
            </w14:solidFill>
          </w14:textFill>
        </w:rPr>
        <w:t>.4</w:t>
      </w:r>
      <w:r>
        <w:rPr>
          <w:color w:val="0D0D0D" w:themeColor="text1" w:themeTint="F2"/>
          <w:sz w:val="21"/>
          <w:szCs w:val="21"/>
          <w14:textFill>
            <w14:solidFill>
              <w14:schemeClr w14:val="tx1">
                <w14:lumMod w14:val="95000"/>
                <w14:lumOff w14:val="5000"/>
              </w14:schemeClr>
            </w14:solidFill>
          </w14:textFill>
        </w:rPr>
        <w:t>.　保密期限：</w:t>
      </w:r>
      <w:r>
        <w:rPr>
          <w:color w:val="0D0D0D" w:themeColor="text1" w:themeTint="F2"/>
          <w:sz w:val="21"/>
          <w:szCs w:val="21"/>
          <w:u w:val="single"/>
          <w14:textFill>
            <w14:solidFill>
              <w14:schemeClr w14:val="tx1">
                <w14:lumMod w14:val="95000"/>
                <w14:lumOff w14:val="5000"/>
              </w14:schemeClr>
            </w14:solidFill>
          </w14:textFill>
        </w:rPr>
        <w:t>自合同生效日起长期。</w:t>
      </w:r>
    </w:p>
    <w:p>
      <w:pPr>
        <w:ind w:firstLine="720"/>
        <w:rPr>
          <w:color w:val="0D0D0D" w:themeColor="text1" w:themeTint="F2"/>
          <w:sz w:val="21"/>
          <w:szCs w:val="21"/>
          <w14:textFill>
            <w14:solidFill>
              <w14:schemeClr w14:val="tx1">
                <w14:lumMod w14:val="95000"/>
                <w14:lumOff w14:val="5000"/>
              </w14:schemeClr>
            </w14:solidFill>
          </w14:textFill>
        </w:rPr>
      </w:pPr>
      <w:r>
        <w:rPr>
          <w:color w:val="0D0D0D" w:themeColor="text1" w:themeTint="F2"/>
          <w:sz w:val="21"/>
          <w:szCs w:val="21"/>
          <w14:textFill>
            <w14:solidFill>
              <w14:schemeClr w14:val="tx1">
                <w14:lumMod w14:val="95000"/>
                <w14:lumOff w14:val="5000"/>
              </w14:schemeClr>
            </w14:solidFill>
          </w14:textFill>
        </w:rPr>
        <w:t>8.3.</w:t>
      </w:r>
      <w:r>
        <w:rPr>
          <w:rFonts w:hint="eastAsia"/>
          <w:color w:val="0D0D0D" w:themeColor="text1" w:themeTint="F2"/>
          <w:sz w:val="21"/>
          <w:szCs w:val="21"/>
          <w14:textFill>
            <w14:solidFill>
              <w14:schemeClr w14:val="tx1">
                <w14:lumMod w14:val="95000"/>
                <w14:lumOff w14:val="5000"/>
              </w14:schemeClr>
            </w14:solidFill>
          </w14:textFill>
        </w:rPr>
        <w:t>5</w:t>
      </w:r>
      <w:r>
        <w:rPr>
          <w:color w:val="0D0D0D" w:themeColor="text1" w:themeTint="F2"/>
          <w:sz w:val="21"/>
          <w:szCs w:val="21"/>
          <w14:textFill>
            <w14:solidFill>
              <w14:schemeClr w14:val="tx1">
                <w14:lumMod w14:val="95000"/>
                <w14:lumOff w14:val="5000"/>
              </w14:schemeClr>
            </w14:solidFill>
          </w14:textFill>
        </w:rPr>
        <w:t>.　泄密责任：</w:t>
      </w:r>
      <w:r>
        <w:rPr>
          <w:color w:val="0D0D0D" w:themeColor="text1" w:themeTint="F2"/>
          <w:sz w:val="21"/>
          <w:szCs w:val="21"/>
          <w:u w:val="single"/>
          <w14:textFill>
            <w14:solidFill>
              <w14:schemeClr w14:val="tx1">
                <w14:lumMod w14:val="95000"/>
                <w14:lumOff w14:val="5000"/>
              </w14:schemeClr>
            </w14:solidFill>
          </w14:textFill>
        </w:rPr>
        <w:t>一切责任由泄密方承担。</w:t>
      </w:r>
    </w:p>
    <w:p>
      <w:pPr>
        <w:ind w:firstLine="480"/>
        <w:rPr>
          <w:sz w:val="21"/>
          <w:szCs w:val="21"/>
        </w:rPr>
      </w:pPr>
      <w:r>
        <w:rPr>
          <w:sz w:val="21"/>
          <w:szCs w:val="21"/>
        </w:rPr>
        <w:t>8.4.　为方便甲方测序数据的使用，乙方承诺在最终数据提供后，继续保留数据</w:t>
      </w:r>
      <w:r>
        <w:rPr>
          <w:sz w:val="21"/>
          <w:szCs w:val="21"/>
          <w:u w:val="single"/>
        </w:rPr>
        <w:t>3</w:t>
      </w:r>
      <w:r>
        <w:rPr>
          <w:sz w:val="21"/>
          <w:szCs w:val="21"/>
        </w:rPr>
        <w:t>个月，超过3个月，乙方不承担保存数据的义务；</w:t>
      </w:r>
    </w:p>
    <w:p>
      <w:pPr>
        <w:ind w:firstLine="480"/>
        <w:rPr>
          <w:sz w:val="21"/>
          <w:szCs w:val="21"/>
        </w:rPr>
      </w:pPr>
      <w:r>
        <w:rPr>
          <w:sz w:val="21"/>
          <w:szCs w:val="21"/>
        </w:rPr>
        <w:t>8.5.　乙方应当保证其交付给甲方的研究开发成果不侵犯任何第三人的合法权益，甲方不承担该研究开发成果的任何责任；</w:t>
      </w:r>
    </w:p>
    <w:p>
      <w:pPr>
        <w:ind w:firstLine="480"/>
        <w:rPr>
          <w:sz w:val="21"/>
          <w:szCs w:val="21"/>
        </w:rPr>
      </w:pPr>
      <w:r>
        <w:rPr>
          <w:sz w:val="21"/>
          <w:szCs w:val="21"/>
        </w:rPr>
        <w:t>8.6.　乙方不得在向甲方交付研究开发成果之前，自行将研究开发成果转让给第三人。</w:t>
      </w:r>
    </w:p>
    <w:p>
      <w:pPr>
        <w:rPr>
          <w:sz w:val="21"/>
          <w:szCs w:val="21"/>
        </w:rPr>
      </w:pPr>
      <w:r>
        <w:rPr>
          <w:b/>
          <w:sz w:val="21"/>
          <w:szCs w:val="21"/>
        </w:rPr>
        <w:t>9.通用条款</w:t>
      </w:r>
    </w:p>
    <w:p>
      <w:pPr>
        <w:rPr>
          <w:sz w:val="21"/>
          <w:szCs w:val="21"/>
        </w:rPr>
      </w:pPr>
      <w:r>
        <w:rPr>
          <w:sz w:val="21"/>
          <w:szCs w:val="21"/>
        </w:rPr>
        <w:t>9.1.甲方应在选用测序前自行确认生物信息分析需要的数据库信息。甲、乙双方可以就实验设计以及数据库信息进行讨论。乙方可以提供实验设计以及数据库选用的参考建议，最终方案由甲方确定。</w:t>
      </w:r>
    </w:p>
    <w:p>
      <w:pPr>
        <w:rPr>
          <w:sz w:val="21"/>
          <w:szCs w:val="21"/>
        </w:rPr>
      </w:pPr>
      <w:r>
        <w:rPr>
          <w:sz w:val="21"/>
          <w:szCs w:val="21"/>
        </w:rPr>
        <w:t>9.2.合同生效后，如果合同款未到，而要求乙方进行实验的，乙方可以考虑在获得相关书面申请以及签订补充协议的条件下根据合同内容文库构建，但如果甲方中途因任何原因而改变实验方案，则甲方需对已经完成的实验负责，并承担相关费用。</w:t>
      </w:r>
    </w:p>
    <w:p>
      <w:pPr>
        <w:rPr>
          <w:sz w:val="21"/>
          <w:szCs w:val="21"/>
        </w:rPr>
      </w:pPr>
      <w:r>
        <w:rPr>
          <w:sz w:val="21"/>
          <w:szCs w:val="21"/>
        </w:rPr>
        <w:t>9.3.如因不可抗力导致的项目延误或不能继续履行时，双方均不承担责任。不可抗力是指无法预见、无法避免、无法克服的客观情况，包括自然灾害、军事行动、工人罢工、暴乱、法律法规强制规定、政府政策限制。</w:t>
      </w:r>
    </w:p>
    <w:p>
      <w:pPr>
        <w:rPr>
          <w:sz w:val="21"/>
          <w:szCs w:val="21"/>
        </w:rPr>
      </w:pPr>
      <w:r>
        <w:rPr>
          <w:sz w:val="21"/>
          <w:szCs w:val="21"/>
        </w:rPr>
        <w:t>9.4.本合同的变更必须由双方协商一致，并以书面形式确定。</w:t>
      </w:r>
    </w:p>
    <w:p>
      <w:pPr>
        <w:rPr>
          <w:sz w:val="21"/>
          <w:szCs w:val="21"/>
        </w:rPr>
      </w:pPr>
      <w:r>
        <w:rPr>
          <w:sz w:val="21"/>
          <w:szCs w:val="21"/>
        </w:rPr>
        <w:t>9.5.甲方提供的工作条件、样品等材料不符合乙方在工作开展之前有向甲方书面告知的要求，经乙方提示后仍不能提供时，乙方可以解除合同。</w:t>
      </w:r>
    </w:p>
    <w:p>
      <w:pPr>
        <w:rPr>
          <w:sz w:val="21"/>
          <w:szCs w:val="21"/>
        </w:rPr>
      </w:pPr>
      <w:r>
        <w:rPr>
          <w:sz w:val="21"/>
          <w:szCs w:val="21"/>
        </w:rPr>
        <w:t>9.6.甲方享有论文署名、专利申请、未来开发等权利。著作权（或专利）取得后的使用和有关利益分配方式如下：</w:t>
      </w:r>
    </w:p>
    <w:p>
      <w:pPr>
        <w:rPr>
          <w:sz w:val="21"/>
          <w:szCs w:val="21"/>
        </w:rPr>
      </w:pPr>
      <w:r>
        <w:rPr>
          <w:sz w:val="21"/>
          <w:szCs w:val="21"/>
        </w:rPr>
        <w:t>9.7.为有效履行本合同，双方确定，在本合同有效期内，</w:t>
      </w:r>
      <w:r>
        <w:rPr>
          <w:color w:val="0D0D0D" w:themeColor="text1" w:themeTint="F2"/>
          <w:sz w:val="21"/>
          <w:szCs w:val="21"/>
          <w14:textFill>
            <w14:solidFill>
              <w14:schemeClr w14:val="tx1">
                <w14:lumMod w14:val="95000"/>
                <w14:lumOff w14:val="5000"/>
              </w14:schemeClr>
            </w14:solidFill>
          </w14:textFill>
        </w:rPr>
        <w:t>甲方指定</w:t>
      </w:r>
      <w:r>
        <w:rPr>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（联系电话：</w:t>
      </w:r>
      <w:r>
        <w:rPr>
          <w:color w:val="0D0D0D" w:themeColor="text1" w:themeTint="F2"/>
          <w:sz w:val="21"/>
          <w:szCs w:val="21"/>
          <w:u w:val="single"/>
          <w14:textFill>
            <w14:solidFill>
              <w14:schemeClr w14:val="tx1">
                <w14:lumMod w14:val="95000"/>
                <w14:lumOff w14:val="5000"/>
              </w14:schemeClr>
            </w14:solidFill>
          </w14:textFill>
        </w:rPr>
        <w:t xml:space="preserve"> </w:t>
      </w:r>
      <w:r>
        <w:rPr>
          <w:rFonts w:hint="eastAsia"/>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；电子邮箱：</w:t>
      </w:r>
      <w:r>
        <w:rPr>
          <w:color w:val="0D0D0D" w:themeColor="text1" w:themeTint="F2"/>
          <w:sz w:val="21"/>
          <w:szCs w:val="21"/>
          <w:u w:val="single"/>
          <w14:textFill>
            <w14:solidFill>
              <w14:schemeClr w14:val="tx1">
                <w14:lumMod w14:val="95000"/>
                <w14:lumOff w14:val="5000"/>
              </w14:schemeClr>
            </w14:solidFill>
          </w14:textFill>
        </w:rPr>
        <w:t xml:space="preserve"> </w:t>
      </w:r>
      <w:r>
        <w:rPr>
          <w:rFonts w:hint="eastAsia"/>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）为甲方项目联系人及委托代理人，乙方指定</w:t>
      </w:r>
      <w:r>
        <w:rPr>
          <w:rFonts w:hint="eastAsia"/>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（联系电话：</w:t>
      </w:r>
      <w:r>
        <w:rPr>
          <w:rFonts w:hint="eastAsia"/>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；电子邮箱：</w:t>
      </w:r>
      <w:r>
        <w:rPr>
          <w:rFonts w:hint="eastAsia"/>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）为乙方项目联系人及委托代理</w:t>
      </w:r>
      <w:r>
        <w:rPr>
          <w:sz w:val="21"/>
          <w:szCs w:val="21"/>
        </w:rPr>
        <w:t>人。委托代理人承担以下责任：</w:t>
      </w:r>
    </w:p>
    <w:p>
      <w:pPr>
        <w:rPr>
          <w:sz w:val="21"/>
          <w:szCs w:val="21"/>
        </w:rPr>
      </w:pPr>
      <w:r>
        <w:rPr>
          <w:sz w:val="21"/>
          <w:szCs w:val="21"/>
        </w:rPr>
        <w:t>9.7.1.依据本合同约定内容推动双方正常履行合同；</w:t>
      </w:r>
    </w:p>
    <w:p>
      <w:pPr>
        <w:rPr>
          <w:sz w:val="21"/>
          <w:szCs w:val="21"/>
        </w:rPr>
      </w:pPr>
      <w:r>
        <w:rPr>
          <w:sz w:val="21"/>
          <w:szCs w:val="21"/>
        </w:rPr>
        <w:t xml:space="preserve">9.7.2.对该合同各条款相关事宜及时进行沟通；                                                   </w:t>
      </w:r>
    </w:p>
    <w:p>
      <w:pPr>
        <w:rPr>
          <w:sz w:val="21"/>
          <w:szCs w:val="21"/>
        </w:rPr>
      </w:pPr>
      <w:r>
        <w:rPr>
          <w:sz w:val="21"/>
          <w:szCs w:val="21"/>
        </w:rPr>
        <w:t xml:space="preserve">9.7.3.代表双方签署相关材料；                                                 </w:t>
      </w:r>
    </w:p>
    <w:p>
      <w:pPr>
        <w:rPr>
          <w:sz w:val="21"/>
          <w:szCs w:val="21"/>
        </w:rPr>
      </w:pPr>
      <w:r>
        <w:rPr>
          <w:sz w:val="21"/>
          <w:szCs w:val="21"/>
        </w:rPr>
        <w:t>9.7.4.一方变更项目联系人的，应当及时以书面形式通知另一方。未及时通知并影响本合同履行或造成损失的，应承担相应的责任。</w:t>
      </w:r>
    </w:p>
    <w:p>
      <w:pPr>
        <w:rPr>
          <w:sz w:val="21"/>
          <w:szCs w:val="21"/>
        </w:rPr>
      </w:pPr>
      <w:r>
        <w:rPr>
          <w:sz w:val="21"/>
          <w:szCs w:val="21"/>
        </w:rPr>
        <w:t>9.8.合同执行过程中如有争议，双方应及时协商解决，如协商无法达成一致，合同双方任何一方可向甲方所在地有管辖权的人民法院提起诉讼</w:t>
      </w:r>
    </w:p>
    <w:p>
      <w:pPr>
        <w:rPr>
          <w:sz w:val="21"/>
          <w:szCs w:val="21"/>
        </w:rPr>
      </w:pPr>
      <w:r>
        <w:rPr>
          <w:sz w:val="21"/>
          <w:szCs w:val="21"/>
        </w:rPr>
        <w:t>9.9.甲方提供的工作条件、样品等材料不符合乙方在工作开展之前有向甲方书面告知的合理必要工作要求，经乙方提示后仍不能提供时，乙方可以解除合同，合同解除后，甲方需根据合同约定价格按照乙方实际已完成并交付甲方使用的工作量支付该部分费用。</w:t>
      </w:r>
    </w:p>
    <w:p>
      <w:pPr>
        <w:rPr>
          <w:sz w:val="21"/>
          <w:szCs w:val="21"/>
        </w:rPr>
      </w:pPr>
      <w:r>
        <w:rPr>
          <w:sz w:val="21"/>
          <w:szCs w:val="21"/>
        </w:rPr>
        <w:t>9.10.双方确定，出现下列情形，致使本合同的履行成为不必要或不可能的，一方可以通知另一方解除本合同。</w:t>
      </w:r>
    </w:p>
    <w:p>
      <w:pPr>
        <w:rPr>
          <w:sz w:val="21"/>
          <w:szCs w:val="21"/>
        </w:rPr>
      </w:pPr>
      <w:r>
        <w:rPr>
          <w:sz w:val="21"/>
          <w:szCs w:val="21"/>
        </w:rPr>
        <w:t>9.10.1.因发生不可抗力或技术障碍；</w:t>
      </w:r>
    </w:p>
    <w:p>
      <w:pPr>
        <w:rPr>
          <w:sz w:val="21"/>
          <w:szCs w:val="21"/>
        </w:rPr>
      </w:pPr>
      <w:r>
        <w:rPr>
          <w:sz w:val="21"/>
          <w:szCs w:val="21"/>
        </w:rPr>
        <w:t>9.10.2.因对方违约使合同不能继续履行或没有必要继续履行。</w:t>
      </w:r>
    </w:p>
    <w:p>
      <w:pPr>
        <w:rPr>
          <w:sz w:val="21"/>
          <w:szCs w:val="21"/>
        </w:rPr>
      </w:pPr>
      <w:r>
        <w:rPr>
          <w:b/>
          <w:sz w:val="21"/>
          <w:szCs w:val="21"/>
        </w:rPr>
        <w:t>10.违约责任</w:t>
      </w:r>
    </w:p>
    <w:p>
      <w:pPr>
        <w:rPr>
          <w:sz w:val="21"/>
          <w:szCs w:val="21"/>
        </w:rPr>
      </w:pPr>
      <w:r>
        <w:rPr>
          <w:sz w:val="21"/>
          <w:szCs w:val="21"/>
        </w:rPr>
        <w:t>10.1.甲方因过错给乙方造成经济损失的，应对该经济损失承担赔偿责任，不超过合同规定的付款金额。但对于人身伤害或有形资产的损坏所造成的损失，此规定限额不适用，需视实际损失情况而定。</w:t>
      </w:r>
    </w:p>
    <w:p>
      <w:pPr>
        <w:rPr>
          <w:sz w:val="21"/>
          <w:szCs w:val="21"/>
        </w:rPr>
      </w:pPr>
      <w:r>
        <w:rPr>
          <w:sz w:val="21"/>
          <w:szCs w:val="21"/>
        </w:rPr>
        <w:t>10.2.在乙方无不履行或不适当履行本合同项下义务的情况下，甲方未按合同约定支付合同款项，乙方可以书面催告甲方在合理期限内支付。如甲方在合理期限届满后仍逾期未付且无正当理由的，每超过合理期限1个工作日，乙方保留向甲方要求按当期应付未付合同金额万分之二的比率支付违约金的权利，或甲乙双方协商解决。前述违约金不超过当期应付合同价款的10%。</w:t>
      </w:r>
    </w:p>
    <w:p>
      <w:pPr>
        <w:rPr>
          <w:sz w:val="21"/>
          <w:szCs w:val="21"/>
        </w:rPr>
      </w:pPr>
      <w:r>
        <w:rPr>
          <w:sz w:val="21"/>
          <w:szCs w:val="21"/>
        </w:rPr>
        <w:t>10.3.乙方未按约履行本协议项下义务的，每延期一日或每日，甲方有权按合同总金额的0.1%收取违约金，违约金不足以弥补甲方损失的，还应当赔偿损失。</w:t>
      </w:r>
    </w:p>
    <w:p>
      <w:pPr>
        <w:rPr>
          <w:sz w:val="21"/>
          <w:szCs w:val="21"/>
        </w:rPr>
      </w:pPr>
      <w:r>
        <w:rPr>
          <w:sz w:val="21"/>
          <w:szCs w:val="21"/>
        </w:rPr>
        <w:t>10.4.乙方依约应付的违约金或赔偿款项，甲方有权直接从应付合同款中扣除，应付合同款不足以扣除相应违约金或赔偿款项的，乙方应另行向甲方支付不足部分，并且乙方应对甲方遭受的一切损失进行赔偿。</w:t>
      </w:r>
    </w:p>
    <w:p>
      <w:pPr>
        <w:rPr>
          <w:sz w:val="21"/>
          <w:szCs w:val="21"/>
        </w:rPr>
      </w:pPr>
      <w:r>
        <w:rPr>
          <w:sz w:val="21"/>
          <w:szCs w:val="21"/>
        </w:rPr>
        <w:t>10.5.在合同有效期内，非经甲方书面同意，乙方不得擅自变更本合同内容或将本合同项下权利义务全部或部分转让给其他机构或个人。否则乙方需退还甲方已支付的所有款项，甲方有权要求乙方按合同总金额的10%向甲方支付违约金，违约金不足以弥补甲方损失的，乙方应另行赔偿，同时甲方有权单方解除本合同。</w:t>
      </w:r>
    </w:p>
    <w:p>
      <w:pPr>
        <w:rPr>
          <w:sz w:val="21"/>
          <w:szCs w:val="21"/>
        </w:rPr>
      </w:pPr>
      <w:r>
        <w:rPr>
          <w:sz w:val="21"/>
          <w:szCs w:val="21"/>
        </w:rPr>
        <w:t>10.6.乙方人员不得以任何形式对甲方人员进行商业贿赂。乙方一旦被列入商业贿赂不良记录或违反前述约定的，则本合同自动解除，乙方需向甲方返还未提供服务部分的合同款项，甲方有权要求乙方按合同总金额的10%向甲方支付违约金，违约金不足以弥补甲方损失的，乙方应另行赔偿。</w:t>
      </w:r>
    </w:p>
    <w:p>
      <w:pPr>
        <w:rPr>
          <w:sz w:val="21"/>
          <w:szCs w:val="21"/>
        </w:rPr>
      </w:pPr>
      <w:r>
        <w:rPr>
          <w:sz w:val="21"/>
          <w:szCs w:val="21"/>
        </w:rPr>
        <w:t>10.7.合同履行过程中，发生下列情形之一的，乙方应向甲方支付合同总价的10%作为违约金，违约金不足以弥补甲方所受损失的，乙方还应予以赔偿，同时甲方有权单方解除本合同，如甲方解除合同的，乙方还需退还甲方已支付的所有款项：</w:t>
      </w:r>
    </w:p>
    <w:p>
      <w:pPr>
        <w:rPr>
          <w:sz w:val="21"/>
          <w:szCs w:val="21"/>
        </w:rPr>
      </w:pPr>
      <w:r>
        <w:rPr>
          <w:sz w:val="21"/>
          <w:szCs w:val="21"/>
        </w:rPr>
        <w:t>10.7.1因乙方的违约行为，给甲方或甲方人员造成重大损失或重大影响的；</w:t>
      </w:r>
    </w:p>
    <w:p>
      <w:pPr>
        <w:rPr>
          <w:sz w:val="21"/>
          <w:szCs w:val="21"/>
        </w:rPr>
      </w:pPr>
      <w:r>
        <w:rPr>
          <w:sz w:val="21"/>
          <w:szCs w:val="21"/>
        </w:rPr>
        <w:t>10.7.2乙方存在或出现不良信用记录行为的（包括但不限于被人民法院列入失信被执行人、被市场监督管理部门列入企业经营异常名单、存在违法犯罪行为、被列入重大税收违法案件当事人名单、被列入政府采购严重违法失信行为记录名单）。</w:t>
      </w:r>
    </w:p>
    <w:p>
      <w:pPr>
        <w:rPr>
          <w:sz w:val="21"/>
          <w:szCs w:val="21"/>
        </w:rPr>
      </w:pPr>
      <w:r>
        <w:rPr>
          <w:sz w:val="21"/>
          <w:szCs w:val="21"/>
        </w:rPr>
        <w:t>10.7.3乙方违约行为超过30日的。</w:t>
      </w:r>
    </w:p>
    <w:p>
      <w:pPr>
        <w:rPr>
          <w:sz w:val="21"/>
          <w:szCs w:val="21"/>
        </w:rPr>
      </w:pPr>
      <w:r>
        <w:rPr>
          <w:sz w:val="21"/>
          <w:szCs w:val="21"/>
        </w:rPr>
        <w:t>10.8.本合同所称之损失包括直接经济损失和合同履行后可以获得的利益、预期利益及合理的调查费、评估费、鉴定费、公证费、诉讼费、交通费、律师费、保全费、保险费等相关法律费用。</w:t>
      </w:r>
    </w:p>
    <w:p>
      <w:pPr>
        <w:rPr>
          <w:sz w:val="21"/>
          <w:szCs w:val="21"/>
        </w:rPr>
      </w:pPr>
      <w:r>
        <w:rPr>
          <w:b/>
          <w:sz w:val="21"/>
          <w:szCs w:val="21"/>
        </w:rPr>
        <w:t>11.其他条款</w:t>
      </w:r>
    </w:p>
    <w:p>
      <w:pPr>
        <w:rPr>
          <w:sz w:val="21"/>
          <w:szCs w:val="21"/>
        </w:rPr>
      </w:pPr>
      <w:r>
        <w:rPr>
          <w:sz w:val="21"/>
          <w:szCs w:val="21"/>
        </w:rPr>
        <w:t>11.1甲方严禁其工作人员接受乙方及其销售人员以任何名义、形式给予的商业贿赂，包括“红包”（含现金、有价证券、信用卡、购物卡或其它馈赠，下同）、提成、物品等不正当利益，以及安排的吃请和其它涉及乙方商业利益的活动邀请。</w:t>
      </w:r>
    </w:p>
    <w:p>
      <w:pPr>
        <w:rPr>
          <w:sz w:val="21"/>
          <w:szCs w:val="21"/>
        </w:rPr>
      </w:pPr>
      <w:r>
        <w:rPr>
          <w:sz w:val="21"/>
          <w:szCs w:val="21"/>
        </w:rPr>
        <w:t>11.2乙方及其销售人员严格遵守甲方的有关规定，不以各种名义、形式给予甲方工作人员“红包”、提成、物品和其他形式等不正当利益或商业贿赂；不在甲方诊疗时间、诊疗区域进入甲方各医疗科室、诊室进行产品推介活动；不干扰甲方医务人员的医疗活动；未经甲方批准，不在甲方院内召开任何形式的产品宣传、推广活动，不在甲方院内张贴、派发涉及产品的宣传资料和赠品。</w:t>
      </w:r>
    </w:p>
    <w:p>
      <w:pPr>
        <w:rPr>
          <w:sz w:val="21"/>
          <w:szCs w:val="21"/>
        </w:rPr>
      </w:pPr>
      <w:r>
        <w:rPr>
          <w:sz w:val="21"/>
          <w:szCs w:val="21"/>
        </w:rPr>
        <w:t>11.3乙方需要在甲方院内进行产品宣传、推广工作的，必须事先向甲方相关的职能科室提出书面申请；经审批后，由甲方有组织、有计划地予以安排。</w:t>
      </w:r>
    </w:p>
    <w:p>
      <w:pPr>
        <w:rPr>
          <w:sz w:val="21"/>
          <w:szCs w:val="21"/>
        </w:rPr>
      </w:pPr>
      <w:r>
        <w:rPr>
          <w:sz w:val="21"/>
          <w:szCs w:val="21"/>
        </w:rPr>
        <w:t>11.4乙方及其销售人员如发现甲方工作人员有索取、收受“红包”、提成、物品及其他形式等不正当利益行为的，可以向甲方纪检监察部门举报。</w:t>
      </w:r>
    </w:p>
    <w:p>
      <w:pPr>
        <w:rPr>
          <w:sz w:val="21"/>
          <w:szCs w:val="21"/>
        </w:rPr>
      </w:pPr>
      <w:r>
        <w:rPr>
          <w:sz w:val="21"/>
          <w:szCs w:val="21"/>
        </w:rPr>
        <w:t>11.5乙方属经销单位的，则有义务向相关生产厂家告之本合同廉洁条款的内容，并提醒生产厂家不得以任何不正当手段向甲方工作人员推销产品，以及给予甲方工作人员“红包”、提成、物品和其他形式等不正当利益。</w:t>
      </w:r>
    </w:p>
    <w:p>
      <w:pPr>
        <w:rPr>
          <w:sz w:val="21"/>
          <w:szCs w:val="21"/>
        </w:rPr>
      </w:pPr>
      <w:r>
        <w:rPr>
          <w:sz w:val="21"/>
          <w:szCs w:val="21"/>
        </w:rPr>
        <w:t>11.6乙方违反本条上述条款，甲方有权解除相关合同，乙方除返还甲方已支付的全部款项外，还应向甲方支付相关合同总金额的10%的违约金。</w:t>
      </w:r>
    </w:p>
    <w:p>
      <w:pPr>
        <w:rPr>
          <w:sz w:val="21"/>
          <w:szCs w:val="21"/>
        </w:rPr>
      </w:pPr>
      <w:r>
        <w:rPr>
          <w:sz w:val="21"/>
          <w:szCs w:val="21"/>
        </w:rPr>
        <w:t>11.7本合同须经双方代表签章并加盖各自单位公章或合同专用章后方可生效。</w:t>
      </w:r>
    </w:p>
    <w:p>
      <w:pPr>
        <w:rPr>
          <w:sz w:val="21"/>
          <w:szCs w:val="21"/>
        </w:rPr>
      </w:pPr>
      <w:r>
        <w:rPr>
          <w:sz w:val="21"/>
          <w:szCs w:val="21"/>
        </w:rPr>
        <w:t>11.8其他未尽事宜，双方协商解决。</w:t>
      </w:r>
    </w:p>
    <w:p>
      <w:pPr>
        <w:rPr>
          <w:sz w:val="21"/>
          <w:szCs w:val="21"/>
        </w:rPr>
      </w:pPr>
      <w:r>
        <w:rPr>
          <w:sz w:val="21"/>
          <w:szCs w:val="21"/>
        </w:rPr>
        <w:t>11.9本合同一式陆份，甲方执肆份，乙方执贰份，均具有同等法律效力。</w:t>
      </w:r>
    </w:p>
    <w:p>
      <w:pPr>
        <w:rPr>
          <w:sz w:val="21"/>
          <w:szCs w:val="21"/>
        </w:rPr>
      </w:pPr>
      <w:r>
        <w:rPr>
          <w:sz w:val="21"/>
          <w:szCs w:val="21"/>
        </w:rPr>
        <w:t>（以下无正文）</w:t>
      </w:r>
    </w:p>
    <w:p>
      <w:pPr>
        <w:rPr>
          <w:sz w:val="21"/>
          <w:szCs w:val="21"/>
        </w:rPr>
      </w:pPr>
    </w:p>
    <w:p>
      <w:pPr>
        <w:rPr>
          <w:sz w:val="21"/>
          <w:szCs w:val="21"/>
        </w:rPr>
      </w:pP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Pr>
          <w:p>
            <w:pPr>
              <w:rPr>
                <w:b/>
                <w:sz w:val="21"/>
                <w:szCs w:val="21"/>
              </w:rPr>
            </w:pPr>
            <w:r>
              <w:rPr>
                <w:b/>
                <w:sz w:val="21"/>
                <w:szCs w:val="21"/>
              </w:rPr>
              <w:t>甲方：</w:t>
            </w:r>
            <w:r>
              <w:rPr>
                <w:rFonts w:hint="eastAsia"/>
                <w:b/>
                <w:sz w:val="21"/>
                <w:szCs w:val="21"/>
              </w:rPr>
              <w:t>汕头大学医学院</w:t>
            </w:r>
          </w:p>
          <w:p>
            <w:pPr>
              <w:rPr>
                <w:sz w:val="21"/>
                <w:szCs w:val="21"/>
              </w:rPr>
            </w:pPr>
            <w:r>
              <w:rPr>
                <w:b/>
                <w:sz w:val="21"/>
                <w:szCs w:val="21"/>
              </w:rPr>
              <w:t>（盖章）</w:t>
            </w:r>
          </w:p>
        </w:tc>
        <w:tc>
          <w:tcPr>
            <w:tcW w:w="4153" w:type="dxa"/>
            <w:tcBorders>
              <w:top w:val="nil"/>
              <w:left w:val="nil"/>
              <w:bottom w:val="nil"/>
              <w:right w:val="nil"/>
            </w:tcBorders>
          </w:tcPr>
          <w:p>
            <w:pPr>
              <w:rPr>
                <w:sz w:val="21"/>
                <w:szCs w:val="21"/>
              </w:rPr>
            </w:pPr>
            <w:r>
              <w:rPr>
                <w:b/>
                <w:sz w:val="21"/>
                <w:szCs w:val="21"/>
              </w:rPr>
              <w:t>乙方</w:t>
            </w:r>
            <w:r>
              <w:rPr>
                <w:rFonts w:hint="eastAsia"/>
                <w:b/>
                <w:sz w:val="21"/>
                <w:szCs w:val="21"/>
              </w:rPr>
              <w:t xml:space="preserve">：   </w:t>
            </w:r>
            <w:r>
              <w:rPr>
                <w:b/>
                <w:sz w:val="21"/>
                <w:szCs w:val="21"/>
              </w:rPr>
              <w:t xml:space="preserve"> </w:t>
            </w:r>
            <w:r>
              <w:rPr>
                <w:rFonts w:hint="eastAsia"/>
                <w:b/>
                <w:sz w:val="21"/>
                <w:szCs w:val="21"/>
              </w:rPr>
              <w:t xml:space="preserve">        </w:t>
            </w:r>
            <w:r>
              <w:rPr>
                <w:b/>
                <w:sz w:val="21"/>
                <w:szCs w:val="21"/>
              </w:rPr>
              <w:t xml:space="preserve">               （盖章）：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Pr>
          <w:p>
            <w:pPr>
              <w:rPr>
                <w:sz w:val="21"/>
                <w:szCs w:val="21"/>
              </w:rPr>
            </w:pPr>
          </w:p>
        </w:tc>
        <w:tc>
          <w:tcPr>
            <w:tcW w:w="4153" w:type="dxa"/>
            <w:tcBorders>
              <w:top w:val="nil"/>
              <w:left w:val="nil"/>
              <w:bottom w:val="nil"/>
              <w:right w:val="nil"/>
            </w:tcBorders>
          </w:tcPr>
          <w:p>
            <w:pPr>
              <w:rPr>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Pr>
          <w:p>
            <w:pPr>
              <w:rPr>
                <w:sz w:val="21"/>
                <w:szCs w:val="21"/>
              </w:rPr>
            </w:pPr>
            <w:r>
              <w:rPr>
                <w:b/>
                <w:color w:val="0D0D0D" w:themeColor="text1" w:themeTint="F2"/>
                <w:sz w:val="21"/>
                <w:szCs w:val="21"/>
                <w14:textFill>
                  <w14:solidFill>
                    <w14:schemeClr w14:val="tx1">
                      <w14:lumMod w14:val="95000"/>
                      <w14:lumOff w14:val="5000"/>
                    </w14:schemeClr>
                  </w14:solidFill>
                </w14:textFill>
              </w:rPr>
              <w:t>法定代表人或授权代表：</w:t>
            </w:r>
          </w:p>
        </w:tc>
        <w:tc>
          <w:tcPr>
            <w:tcW w:w="4153" w:type="dxa"/>
            <w:tcBorders>
              <w:top w:val="nil"/>
              <w:left w:val="nil"/>
              <w:bottom w:val="nil"/>
              <w:right w:val="nil"/>
            </w:tcBorders>
          </w:tcPr>
          <w:p>
            <w:pPr>
              <w:rPr>
                <w:sz w:val="21"/>
                <w:szCs w:val="21"/>
              </w:rPr>
            </w:pPr>
            <w:r>
              <w:rPr>
                <w:b/>
                <w:sz w:val="21"/>
                <w:szCs w:val="21"/>
              </w:rPr>
              <w:t>法定代表人或授权代表：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Pr>
          <w:p>
            <w:pPr>
              <w:rPr>
                <w:sz w:val="21"/>
                <w:szCs w:val="21"/>
              </w:rPr>
            </w:pPr>
          </w:p>
        </w:tc>
        <w:tc>
          <w:tcPr>
            <w:tcW w:w="4153" w:type="dxa"/>
            <w:tcBorders>
              <w:top w:val="nil"/>
              <w:left w:val="nil"/>
              <w:bottom w:val="nil"/>
              <w:right w:val="nil"/>
            </w:tcBorders>
          </w:tcPr>
          <w:p>
            <w:pPr>
              <w:rPr>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Pr>
          <w:p>
            <w:pPr>
              <w:ind w:firstLine="262" w:firstLineChars="100"/>
              <w:rPr>
                <w:color w:val="10243F" w:themeColor="text2" w:themeShade="80"/>
                <w:sz w:val="21"/>
                <w:szCs w:val="21"/>
              </w:rPr>
            </w:pPr>
            <w:r>
              <w:rPr>
                <w:b/>
                <w:color w:val="10243F" w:themeColor="text2" w:themeShade="80"/>
                <w:sz w:val="21"/>
                <w:szCs w:val="21"/>
              </w:rPr>
              <w:t>年 月 日</w:t>
            </w:r>
          </w:p>
        </w:tc>
        <w:tc>
          <w:tcPr>
            <w:tcW w:w="4153" w:type="dxa"/>
            <w:tcBorders>
              <w:top w:val="nil"/>
              <w:left w:val="nil"/>
              <w:bottom w:val="nil"/>
              <w:right w:val="nil"/>
            </w:tcBorders>
          </w:tcPr>
          <w:p>
            <w:pPr>
              <w:ind w:firstLine="262" w:firstLineChars="100"/>
              <w:rPr>
                <w:color w:val="10243F" w:themeColor="text2" w:themeShade="80"/>
                <w:sz w:val="21"/>
                <w:szCs w:val="21"/>
              </w:rPr>
            </w:pPr>
            <w:r>
              <w:rPr>
                <w:b/>
                <w:color w:val="10243F" w:themeColor="text2" w:themeShade="80"/>
                <w:sz w:val="21"/>
                <w:szCs w:val="21"/>
              </w:rPr>
              <w:t xml:space="preserve">年 月 </w:t>
            </w:r>
            <w:r>
              <w:rPr>
                <w:rFonts w:hint="eastAsia"/>
                <w:b/>
                <w:color w:val="10243F" w:themeColor="text2" w:themeShade="80"/>
                <w:sz w:val="21"/>
                <w:szCs w:val="21"/>
              </w:rPr>
              <w:t xml:space="preserve"> </w:t>
            </w:r>
            <w:r>
              <w:rPr>
                <w:b/>
                <w:color w:val="10243F" w:themeColor="text2" w:themeShade="80"/>
                <w:sz w:val="21"/>
                <w:szCs w:val="21"/>
              </w:rPr>
              <w:t>日</w:t>
            </w:r>
          </w:p>
        </w:tc>
      </w:tr>
    </w:tbl>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r>
        <w:rPr>
          <w:rFonts w:hint="eastAsia" w:ascii="仿宋" w:hAnsi="仿宋" w:eastAsia="仿宋" w:cs="仿宋"/>
          <w:b/>
          <w:sz w:val="32"/>
        </w:rPr>
        <w:t>第四部分    投  标  书（格式）</w:t>
      </w:r>
    </w:p>
    <w:p>
      <w:pPr>
        <w:kinsoku w:val="0"/>
        <w:wordWrap w:val="0"/>
        <w:topLinePunct/>
        <w:spacing w:after="120" w:line="360" w:lineRule="atLeast"/>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spacing w:after="120" w:line="240" w:lineRule="atLeast"/>
        <w:ind w:firstLine="585"/>
        <w:rPr>
          <w:rFonts w:hint="eastAsia" w:ascii="仿宋" w:hAnsi="仿宋" w:eastAsia="仿宋" w:cs="仿宋"/>
          <w:sz w:val="24"/>
        </w:rPr>
      </w:pPr>
      <w:r>
        <w:rPr>
          <w:rFonts w:hint="eastAsia" w:ascii="仿宋" w:hAnsi="仿宋" w:eastAsia="仿宋" w:cs="仿宋"/>
          <w:sz w:val="24"/>
        </w:rPr>
        <w:t>根据你们设</w:t>
      </w:r>
      <w:r>
        <w:rPr>
          <w:rFonts w:hint="eastAsia" w:ascii="仿宋" w:hAnsi="仿宋" w:eastAsia="仿宋" w:cs="仿宋"/>
          <w:sz w:val="24"/>
          <w:u w:val="single"/>
        </w:rPr>
        <w:t xml:space="preserve">           </w:t>
      </w:r>
      <w:r>
        <w:rPr>
          <w:rFonts w:hint="eastAsia" w:ascii="仿宋" w:hAnsi="仿宋" w:eastAsia="仿宋" w:cs="仿宋"/>
          <w:sz w:val="24"/>
        </w:rPr>
        <w:t>号（招标编号）招标文件要求，</w:t>
      </w:r>
      <w:r>
        <w:rPr>
          <w:rFonts w:hint="eastAsia" w:ascii="仿宋" w:hAnsi="仿宋" w:eastAsia="仿宋" w:cs="仿宋"/>
          <w:sz w:val="24"/>
          <w:u w:val="single"/>
        </w:rPr>
        <w:t xml:space="preserve">                </w:t>
      </w:r>
      <w:r>
        <w:rPr>
          <w:rFonts w:hint="eastAsia" w:ascii="仿宋" w:hAnsi="仿宋" w:eastAsia="仿宋" w:cs="仿宋"/>
          <w:sz w:val="24"/>
        </w:rPr>
        <w:t>（全名及职衔）经正式授权并以投标人</w:t>
      </w:r>
      <w:r>
        <w:rPr>
          <w:rFonts w:hint="eastAsia" w:ascii="仿宋" w:hAnsi="仿宋" w:eastAsia="仿宋" w:cs="仿宋"/>
          <w:sz w:val="24"/>
          <w:u w:val="single"/>
        </w:rPr>
        <w:t xml:space="preserve">                             </w:t>
      </w:r>
      <w:r>
        <w:rPr>
          <w:rFonts w:hint="eastAsia" w:ascii="仿宋" w:hAnsi="仿宋" w:eastAsia="仿宋" w:cs="仿宋"/>
          <w:sz w:val="24"/>
        </w:rPr>
        <w:t>（投标人名称、地址）的名义投标。提交下述文件正本一份和副本一式柒份。</w:t>
      </w:r>
    </w:p>
    <w:p>
      <w:pPr>
        <w:pStyle w:val="6"/>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投标书；</w:t>
      </w:r>
    </w:p>
    <w:p>
      <w:pPr>
        <w:pStyle w:val="6"/>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开标一览表；</w:t>
      </w:r>
    </w:p>
    <w:p>
      <w:pPr>
        <w:pStyle w:val="6"/>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设备配置一览表；</w:t>
      </w:r>
    </w:p>
    <w:p>
      <w:pPr>
        <w:pStyle w:val="6"/>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服务承诺书；</w:t>
      </w:r>
    </w:p>
    <w:p>
      <w:pPr>
        <w:pStyle w:val="6"/>
        <w:kinsoku w:val="0"/>
        <w:wordWrap w:val="0"/>
        <w:topLinePunct/>
        <w:autoSpaceDE/>
        <w:autoSpaceDN/>
        <w:spacing w:line="200" w:lineRule="atLeast"/>
        <w:ind w:left="1328" w:leftChars="0" w:firstLine="0" w:firstLineChars="0"/>
        <w:rPr>
          <w:rFonts w:hint="eastAsia" w:ascii="仿宋" w:hAnsi="仿宋" w:eastAsia="仿宋" w:cs="仿宋"/>
          <w:sz w:val="24"/>
        </w:rPr>
      </w:pP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签字代表在此声明并同意：</w:t>
      </w:r>
    </w:p>
    <w:p>
      <w:pPr>
        <w:kinsoku w:val="0"/>
        <w:wordWrap w:val="0"/>
        <w:topLinePunct/>
        <w:spacing w:line="360" w:lineRule="atLeast"/>
        <w:ind w:left="830" w:hanging="830"/>
        <w:rPr>
          <w:rFonts w:hint="eastAsia" w:ascii="仿宋" w:hAnsi="仿宋" w:eastAsia="仿宋" w:cs="仿宋"/>
          <w:sz w:val="24"/>
        </w:rPr>
      </w:pPr>
      <w:r>
        <w:rPr>
          <w:rFonts w:hint="eastAsia" w:ascii="仿宋" w:hAnsi="仿宋" w:eastAsia="仿宋" w:cs="仿宋"/>
          <w:sz w:val="24"/>
        </w:rPr>
        <w:t xml:space="preserve">   １.我们愿意遵守招标人招标文件中的各项规定，供应符合“技术规范”所要求的设备，投标总报价为：</w:t>
      </w:r>
      <w:r>
        <w:rPr>
          <w:rFonts w:hint="eastAsia" w:ascii="仿宋" w:hAnsi="仿宋" w:eastAsia="仿宋" w:cs="仿宋"/>
          <w:sz w:val="24"/>
          <w:u w:val="single"/>
        </w:rPr>
        <w:t xml:space="preserve">         </w:t>
      </w:r>
      <w:r>
        <w:rPr>
          <w:rFonts w:hint="eastAsia" w:ascii="仿宋" w:hAnsi="仿宋" w:eastAsia="仿宋" w:cs="仿宋"/>
          <w:sz w:val="24"/>
        </w:rPr>
        <w:t>元。</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２.我们同意本投标自投标截止日起30天内有效。如果我们的投标被接受，则直至合同生效时止，本投标始终有效。</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３.我们已经详细地阅读了全部招标文件及附件，包括澄清及参考文件（如果有的话），我们完全理解并同意放弃对这方面有不明及误解的权利。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４.我们同意提供招标人要求的有关投标的其他资料。</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５.我们理解，招标人并无义务必须接受最低报价的投标或其他任何投标。</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６.所有有关本次投标的函电请寄：</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职      位:</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投标方名称:</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投标方印章:</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电  话：           传  真：            E_mail:</w:t>
      </w: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r>
        <w:rPr>
          <w:rFonts w:hint="eastAsia" w:ascii="仿宋" w:hAnsi="仿宋" w:eastAsia="仿宋" w:cs="仿宋"/>
          <w:sz w:val="24"/>
        </w:rPr>
        <w:t>投标书附件1：</w:t>
      </w:r>
    </w:p>
    <w:p>
      <w:pPr>
        <w:kinsoku w:val="0"/>
        <w:wordWrap w:val="0"/>
        <w:topLinePunct/>
        <w:spacing w:line="360" w:lineRule="exact"/>
        <w:jc w:val="center"/>
        <w:rPr>
          <w:rFonts w:hint="eastAsia" w:ascii="仿宋" w:hAnsi="仿宋" w:eastAsia="仿宋" w:cs="仿宋"/>
          <w:b/>
          <w:sz w:val="32"/>
        </w:rPr>
      </w:pPr>
    </w:p>
    <w:p>
      <w:pPr>
        <w:kinsoku w:val="0"/>
        <w:wordWrap w:val="0"/>
        <w:topLinePunct/>
        <w:spacing w:line="360" w:lineRule="exact"/>
        <w:jc w:val="center"/>
        <w:rPr>
          <w:rFonts w:hint="eastAsia" w:ascii="仿宋" w:hAnsi="仿宋" w:eastAsia="仿宋" w:cs="仿宋"/>
          <w:b/>
          <w:sz w:val="32"/>
        </w:rPr>
      </w:pPr>
    </w:p>
    <w:p>
      <w:pPr>
        <w:kinsoku w:val="0"/>
        <w:wordWrap w:val="0"/>
        <w:topLinePunct/>
        <w:spacing w:line="360" w:lineRule="exact"/>
        <w:jc w:val="center"/>
        <w:rPr>
          <w:rFonts w:hint="eastAsia" w:ascii="仿宋" w:hAnsi="仿宋" w:eastAsia="仿宋" w:cs="仿宋"/>
          <w:b/>
          <w:sz w:val="32"/>
        </w:rPr>
      </w:pPr>
      <w:r>
        <w:rPr>
          <w:rFonts w:hint="eastAsia" w:ascii="仿宋" w:hAnsi="仿宋" w:eastAsia="仿宋" w:cs="仿宋"/>
          <w:b/>
          <w:sz w:val="32"/>
        </w:rPr>
        <w:t>开标一览表</w:t>
      </w: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u w:val="single"/>
        </w:rPr>
      </w:pPr>
      <w:r>
        <w:rPr>
          <w:rFonts w:hint="eastAsia" w:ascii="仿宋" w:hAnsi="仿宋" w:eastAsia="仿宋" w:cs="仿宋"/>
          <w:sz w:val="24"/>
        </w:rPr>
        <w:t>投标方名称：</w:t>
      </w:r>
      <w:r>
        <w:rPr>
          <w:rFonts w:hint="eastAsia" w:ascii="仿宋" w:hAnsi="仿宋" w:eastAsia="仿宋" w:cs="仿宋"/>
          <w:sz w:val="24"/>
          <w:u w:val="single"/>
        </w:rPr>
        <w:t xml:space="preserve">                     </w:t>
      </w:r>
      <w:r>
        <w:rPr>
          <w:rFonts w:hint="eastAsia" w:ascii="仿宋" w:hAnsi="仿宋" w:eastAsia="仿宋" w:cs="仿宋"/>
          <w:sz w:val="24"/>
        </w:rPr>
        <w:t>，招标编号：</w:t>
      </w:r>
      <w:r>
        <w:rPr>
          <w:rFonts w:hint="eastAsia" w:ascii="仿宋" w:hAnsi="仿宋" w:eastAsia="仿宋" w:cs="仿宋"/>
          <w:sz w:val="24"/>
          <w:u w:val="single"/>
        </w:rPr>
        <w:t xml:space="preserve">         </w:t>
      </w:r>
    </w:p>
    <w:p>
      <w:pPr>
        <w:kinsoku w:val="0"/>
        <w:wordWrap w:val="0"/>
        <w:topLinePunct/>
        <w:spacing w:line="360" w:lineRule="exact"/>
        <w:rPr>
          <w:rFonts w:hint="eastAsia" w:ascii="仿宋" w:hAnsi="仿宋" w:eastAsia="仿宋" w:cs="仿宋"/>
          <w:sz w:val="21"/>
        </w:rPr>
      </w:pPr>
      <w:r>
        <w:rPr>
          <w:rFonts w:hint="eastAsia" w:ascii="仿宋" w:hAnsi="仿宋" w:eastAsia="仿宋" w:cs="仿宋"/>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序号</w:t>
            </w:r>
          </w:p>
        </w:tc>
        <w:tc>
          <w:tcPr>
            <w:tcW w:w="3652"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项目名称</w:t>
            </w:r>
          </w:p>
        </w:tc>
        <w:tc>
          <w:tcPr>
            <w:tcW w:w="1992"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投标总报价</w:t>
            </w:r>
          </w:p>
        </w:tc>
        <w:tc>
          <w:tcPr>
            <w:tcW w:w="2656"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一</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二</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三</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四</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五</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六</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七</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八</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bl>
    <w:p>
      <w:pPr>
        <w:kinsoku w:val="0"/>
        <w:wordWrap w:val="0"/>
        <w:topLinePunct/>
        <w:spacing w:line="360" w:lineRule="exact"/>
        <w:rPr>
          <w:rFonts w:hint="eastAsia" w:ascii="仿宋" w:hAnsi="仿宋" w:eastAsia="仿宋" w:cs="仿宋"/>
          <w:sz w:val="24"/>
        </w:rPr>
      </w:pPr>
    </w:p>
    <w:p>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pPr>
        <w:kinsoku w:val="0"/>
        <w:wordWrap w:val="0"/>
        <w:topLinePunct/>
        <w:rPr>
          <w:rFonts w:hint="eastAsia" w:ascii="仿宋" w:hAnsi="仿宋" w:eastAsia="仿宋" w:cs="仿宋"/>
        </w:rPr>
      </w:pPr>
    </w:p>
    <w:p>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服务承诺书（格式）</w:t>
      </w:r>
    </w:p>
    <w:p>
      <w:pPr>
        <w:kinsoku w:val="0"/>
        <w:wordWrap w:val="0"/>
        <w:topLinePunct/>
        <w:ind w:left="851" w:hanging="851"/>
        <w:jc w:val="center"/>
        <w:rPr>
          <w:rFonts w:hint="eastAsia" w:ascii="仿宋" w:hAnsi="仿宋" w:eastAsia="仿宋" w:cs="仿宋"/>
        </w:rPr>
      </w:pPr>
    </w:p>
    <w:p>
      <w:pPr>
        <w:kinsoku w:val="0"/>
        <w:wordWrap w:val="0"/>
        <w:topLinePunct/>
        <w:ind w:left="851" w:hanging="851"/>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ind w:firstLine="664"/>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号（招标编号）招标书，我们同意招标文件中有关服务的要求，对所投的技术服务承诺如下服务：</w:t>
      </w: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r>
        <w:rPr>
          <w:rFonts w:hint="eastAsia" w:ascii="仿宋" w:hAnsi="仿宋" w:eastAsia="仿宋" w:cs="仿宋"/>
          <w:sz w:val="24"/>
        </w:rPr>
        <w:t>特此承诺！</w:t>
      </w:r>
    </w:p>
    <w:p>
      <w:pPr>
        <w:kinsoku w:val="0"/>
        <w:wordWrap w:val="0"/>
        <w:topLinePunct/>
        <w:ind w:firstLine="664"/>
        <w:rPr>
          <w:rFonts w:hint="eastAsia" w:ascii="仿宋" w:hAnsi="仿宋" w:eastAsia="仿宋" w:cs="仿宋"/>
          <w:sz w:val="24"/>
        </w:rPr>
      </w:pP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承诺方授权代表签字：</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职      位:</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承诺方名称:</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承诺方印章:</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地  址：</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邮  编：</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电  话：</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传  真：</w:t>
      </w: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ind w:left="851" w:hanging="851"/>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pPr>
        <w:kinsoku w:val="0"/>
        <w:wordWrap w:val="0"/>
        <w:topLinePunct/>
        <w:ind w:left="851" w:hanging="851"/>
        <w:rPr>
          <w:rFonts w:hint="eastAsia" w:ascii="仿宋" w:hAnsi="仿宋" w:eastAsia="仿宋" w:cs="仿宋"/>
          <w:sz w:val="24"/>
        </w:rPr>
      </w:pPr>
    </w:p>
    <w:p>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关于资格文件声明的函</w:t>
      </w:r>
    </w:p>
    <w:p>
      <w:pPr>
        <w:kinsoku w:val="0"/>
        <w:wordWrap w:val="0"/>
        <w:topLinePunct/>
        <w:ind w:left="851" w:hanging="851"/>
        <w:rPr>
          <w:rFonts w:hint="eastAsia" w:ascii="仿宋" w:hAnsi="仿宋" w:eastAsia="仿宋" w:cs="仿宋"/>
          <w:sz w:val="24"/>
        </w:rPr>
      </w:pPr>
    </w:p>
    <w:p>
      <w:pPr>
        <w:kinsoku w:val="0"/>
        <w:wordWrap w:val="0"/>
        <w:topLinePunct/>
        <w:spacing w:after="180"/>
        <w:ind w:left="850" w:hanging="266"/>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spacing w:after="180"/>
        <w:ind w:firstLine="585"/>
        <w:rPr>
          <w:rFonts w:hint="eastAsia"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日设</w:t>
      </w:r>
      <w:r>
        <w:rPr>
          <w:rFonts w:hint="eastAsia" w:ascii="仿宋" w:hAnsi="仿宋" w:eastAsia="仿宋" w:cs="仿宋"/>
          <w:sz w:val="24"/>
          <w:u w:val="single"/>
        </w:rPr>
        <w:t xml:space="preserve">           </w:t>
      </w:r>
      <w:r>
        <w:rPr>
          <w:rFonts w:hint="eastAsia" w:ascii="仿宋" w:hAnsi="仿宋" w:eastAsia="仿宋" w:cs="仿宋"/>
          <w:sz w:val="24"/>
        </w:rPr>
        <w:t>号招标文件的投标邀请，本签字人愿意参加投标，并证明提交的资格文件和说明是准确的和真实的。</w:t>
      </w: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r>
        <w:rPr>
          <w:rFonts w:hint="eastAsia" w:ascii="仿宋" w:hAnsi="仿宋" w:eastAsia="仿宋" w:cs="仿宋"/>
          <w:sz w:val="24"/>
        </w:rPr>
        <w:t>单位名称和地址：              授权签署本资格文件人：</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 xml:space="preserve">     签  字：</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签字人姓名、职务（印刷体）</w:t>
      </w:r>
    </w:p>
    <w:p>
      <w:pPr>
        <w:kinsoku w:val="0"/>
        <w:wordWrap w:val="0"/>
        <w:topLinePunct/>
        <w:spacing w:after="180"/>
        <w:rPr>
          <w:rFonts w:hint="eastAsia"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邮  编：</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r>
        <w:rPr>
          <w:rFonts w:hint="eastAsia" w:ascii="仿宋" w:hAnsi="仿宋" w:eastAsia="仿宋" w:cs="仿宋"/>
          <w:sz w:val="24"/>
        </w:rPr>
        <w:t>投标书附件4：</w:t>
      </w:r>
    </w:p>
    <w:p>
      <w:pPr>
        <w:kinsoku w:val="0"/>
        <w:wordWrap w:val="0"/>
        <w:topLinePunct/>
        <w:spacing w:after="180"/>
        <w:rPr>
          <w:rFonts w:hint="eastAsia" w:ascii="仿宋" w:hAnsi="仿宋" w:eastAsia="仿宋" w:cs="仿宋"/>
          <w:sz w:val="24"/>
        </w:rPr>
      </w:pPr>
    </w:p>
    <w:p>
      <w:pPr>
        <w:kinsoku w:val="0"/>
        <w:wordWrap w:val="0"/>
        <w:topLinePunct/>
        <w:spacing w:after="180"/>
        <w:jc w:val="center"/>
        <w:rPr>
          <w:rFonts w:hint="eastAsia" w:ascii="仿宋" w:hAnsi="仿宋" w:eastAsia="仿宋" w:cs="仿宋"/>
          <w:b/>
          <w:sz w:val="32"/>
        </w:rPr>
      </w:pPr>
      <w:r>
        <w:rPr>
          <w:rFonts w:hint="eastAsia" w:ascii="仿宋" w:hAnsi="仿宋" w:eastAsia="仿宋" w:cs="仿宋"/>
          <w:b/>
          <w:sz w:val="32"/>
        </w:rPr>
        <w:t>资 格 文 件</w:t>
      </w:r>
    </w:p>
    <w:p>
      <w:pPr>
        <w:kinsoku w:val="0"/>
        <w:wordWrap w:val="0"/>
        <w:topLinePunct/>
        <w:spacing w:after="180"/>
        <w:rPr>
          <w:rFonts w:hint="eastAsia" w:ascii="仿宋" w:hAnsi="仿宋" w:eastAsia="仿宋" w:cs="仿宋"/>
          <w:sz w:val="24"/>
        </w:rPr>
      </w:pP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投标人应按下列要求提交资格文件</w:t>
      </w:r>
      <w:r>
        <w:rPr>
          <w:rFonts w:hint="eastAsia" w:ascii="仿宋" w:hAnsi="仿宋" w:eastAsia="仿宋" w:cs="仿宋"/>
          <w:sz w:val="24"/>
          <w:lang w:eastAsia="zh-CN"/>
        </w:rPr>
        <w:t>（</w:t>
      </w:r>
      <w:r>
        <w:rPr>
          <w:rFonts w:hint="eastAsia" w:ascii="仿宋" w:hAnsi="仿宋" w:eastAsia="仿宋" w:cs="仿宋"/>
          <w:sz w:val="24"/>
          <w:lang w:val="en-US" w:eastAsia="zh-CN"/>
        </w:rPr>
        <w:t>加盖公章</w:t>
      </w:r>
      <w:r>
        <w:rPr>
          <w:rFonts w:hint="eastAsia" w:ascii="仿宋" w:hAnsi="仿宋" w:eastAsia="仿宋" w:cs="仿宋"/>
          <w:sz w:val="24"/>
          <w:lang w:eastAsia="zh-CN"/>
        </w:rPr>
        <w:t>）</w:t>
      </w:r>
      <w:r>
        <w:rPr>
          <w:rFonts w:hint="eastAsia" w:ascii="仿宋" w:hAnsi="仿宋" w:eastAsia="仿宋" w:cs="仿宋"/>
          <w:sz w:val="24"/>
        </w:rPr>
        <w:t>：</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1. 投标人全称和注册国。</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2. 营业执照和工商局签发的销售许可证（复印件）。</w:t>
      </w:r>
    </w:p>
    <w:p>
      <w:pPr>
        <w:kinsoku w:val="0"/>
        <w:wordWrap w:val="0"/>
        <w:topLinePunct/>
        <w:spacing w:after="180"/>
        <w:ind w:left="332" w:leftChars="100"/>
        <w:rPr>
          <w:rFonts w:hint="eastAsia" w:ascii="仿宋" w:hAnsi="仿宋" w:eastAsia="仿宋" w:cs="仿宋"/>
          <w:sz w:val="24"/>
          <w:lang w:val="en-US" w:eastAsia="zh-CN"/>
        </w:rPr>
      </w:pPr>
      <w:r>
        <w:rPr>
          <w:rFonts w:hint="eastAsia" w:ascii="仿宋" w:hAnsi="仿宋" w:eastAsia="仿宋" w:cs="仿宋"/>
          <w:sz w:val="24"/>
        </w:rPr>
        <w:t xml:space="preserve">  3. 开户银行名称和帐号。</w:t>
      </w:r>
    </w:p>
    <w:p>
      <w:pPr>
        <w:kinsoku w:val="0"/>
        <w:wordWrap w:val="0"/>
        <w:topLinePunct/>
        <w:spacing w:after="180"/>
        <w:ind w:left="332" w:leftChars="100" w:firstLine="292" w:firstLineChars="100"/>
        <w:rPr>
          <w:rFonts w:hint="eastAsia" w:ascii="仿宋" w:hAnsi="仿宋" w:eastAsia="仿宋" w:cs="仿宋"/>
          <w:sz w:val="24"/>
          <w:lang w:val="en-US" w:eastAsia="zh-CN"/>
        </w:rPr>
      </w:pPr>
      <w:r>
        <w:rPr>
          <w:rFonts w:hint="eastAsia" w:ascii="仿宋" w:hAnsi="仿宋" w:eastAsia="仿宋" w:cs="仿宋"/>
          <w:sz w:val="24"/>
          <w:lang w:val="en-US" w:eastAsia="zh-CN"/>
        </w:rPr>
        <w:t xml:space="preserve">4. </w:t>
      </w:r>
      <w:r>
        <w:rPr>
          <w:rFonts w:hint="eastAsia" w:ascii="仿宋" w:hAnsi="仿宋" w:eastAsia="仿宋" w:cs="仿宋"/>
          <w:sz w:val="24"/>
        </w:rPr>
        <w:t>参加本项目招标采购活动前三年内，在经营活动中没有重大违法记录</w:t>
      </w:r>
      <w:r>
        <w:rPr>
          <w:rFonts w:hint="eastAsia" w:ascii="仿宋" w:hAnsi="仿宋" w:eastAsia="仿宋" w:cs="仿宋"/>
          <w:sz w:val="24"/>
          <w:lang w:val="en-US" w:eastAsia="zh-CN"/>
        </w:rPr>
        <w:t>书面声明。</w:t>
      </w:r>
    </w:p>
    <w:p>
      <w:pPr>
        <w:kinsoku w:val="0"/>
        <w:wordWrap w:val="0"/>
        <w:topLinePunct/>
        <w:spacing w:after="180"/>
        <w:ind w:left="332" w:leftChars="100" w:firstLine="292" w:firstLineChars="100"/>
        <w:rPr>
          <w:rFonts w:hint="default" w:ascii="仿宋" w:hAnsi="仿宋" w:eastAsia="仿宋" w:cs="仿宋"/>
          <w:sz w:val="24"/>
          <w:lang w:val="en-US" w:eastAsia="zh-CN"/>
        </w:rPr>
      </w:pPr>
      <w:r>
        <w:rPr>
          <w:rFonts w:hint="eastAsia" w:ascii="仿宋" w:hAnsi="仿宋" w:eastAsia="仿宋" w:cs="仿宋"/>
          <w:sz w:val="24"/>
          <w:lang w:val="en-US" w:eastAsia="zh-CN"/>
        </w:rPr>
        <w:t xml:space="preserve">5. </w:t>
      </w:r>
      <w:r>
        <w:rPr>
          <w:rFonts w:hint="eastAsia" w:ascii="仿宋" w:hAnsi="仿宋" w:eastAsia="仿宋" w:cs="仿宋"/>
          <w:sz w:val="24"/>
        </w:rPr>
        <w:t xml:space="preserve">投标人未被列入“信用中国”网站失信被执行人、重大税收违法案件严重违法失信行为记录名单 </w:t>
      </w:r>
      <w:r>
        <w:rPr>
          <w:rFonts w:hint="eastAsia" w:ascii="仿宋" w:hAnsi="仿宋" w:eastAsia="仿宋" w:cs="仿宋"/>
          <w:sz w:val="24"/>
          <w:lang w:val="en-US" w:eastAsia="zh-CN"/>
        </w:rPr>
        <w:t>(截图）。</w:t>
      </w:r>
    </w:p>
    <w:p>
      <w:pPr>
        <w:kinsoku w:val="0"/>
        <w:wordWrap w:val="0"/>
        <w:topLinePunct/>
        <w:spacing w:after="180"/>
        <w:ind w:left="332" w:leftChars="100"/>
        <w:rPr>
          <w:rFonts w:hint="eastAsia" w:ascii="仿宋" w:hAnsi="仿宋" w:eastAsia="仿宋" w:cs="仿宋"/>
          <w:sz w:val="24"/>
        </w:rPr>
      </w:pPr>
    </w:p>
    <w:p>
      <w:pPr>
        <w:kinsoku w:val="0"/>
        <w:wordWrap w:val="0"/>
        <w:topLinePunct/>
        <w:spacing w:after="180"/>
        <w:ind w:left="332" w:leftChars="100"/>
        <w:rPr>
          <w:rFonts w:hint="eastAsia" w:ascii="仿宋" w:hAnsi="仿宋" w:eastAsia="仿宋" w:cs="仿宋"/>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Borders>
        <w:top w:val="none" w:sz="0" w:space="0"/>
        <w:left w:val="none" w:sz="0" w:space="0"/>
        <w:bottom w:val="none" w:sz="0" w:space="0"/>
        <w:right w:val="none" w:sz="0" w:space="0"/>
      </w:pgBorders>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Mangal">
    <w:altName w:val="Segoe Print"/>
    <w:panose1 w:val="02040503050203030202"/>
    <w:charset w:val="01"/>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626A3C17"/>
    <w:multiLevelType w:val="multilevel"/>
    <w:tmpl w:val="626A3C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3"/>
  </w:num>
  <w:num w:numId="2">
    <w:abstractNumId w:val="2"/>
  </w:num>
  <w:num w:numId="3">
    <w:abstractNumId w:val="9"/>
  </w:num>
  <w:num w:numId="4">
    <w:abstractNumId w:val="4"/>
  </w:num>
  <w:num w:numId="5">
    <w:abstractNumId w:val="0"/>
  </w:num>
  <w:num w:numId="6">
    <w:abstractNumId w:val="6"/>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2C6"/>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5E"/>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0B9"/>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1317F69"/>
    <w:rsid w:val="09B94900"/>
    <w:rsid w:val="0A1D0E2A"/>
    <w:rsid w:val="0A3B3092"/>
    <w:rsid w:val="0C8E76F7"/>
    <w:rsid w:val="11F019C5"/>
    <w:rsid w:val="152E4A94"/>
    <w:rsid w:val="19375EE1"/>
    <w:rsid w:val="1D240237"/>
    <w:rsid w:val="1E546BED"/>
    <w:rsid w:val="202820DF"/>
    <w:rsid w:val="215C64E4"/>
    <w:rsid w:val="21DD6EFA"/>
    <w:rsid w:val="2613738E"/>
    <w:rsid w:val="266B0625"/>
    <w:rsid w:val="274C2B57"/>
    <w:rsid w:val="2926384E"/>
    <w:rsid w:val="2BC71179"/>
    <w:rsid w:val="31406496"/>
    <w:rsid w:val="316A76F3"/>
    <w:rsid w:val="33D13DB6"/>
    <w:rsid w:val="3603653E"/>
    <w:rsid w:val="36D79310"/>
    <w:rsid w:val="38EF3C8A"/>
    <w:rsid w:val="3BFF1BF0"/>
    <w:rsid w:val="3E1F4C5D"/>
    <w:rsid w:val="40963817"/>
    <w:rsid w:val="498774ED"/>
    <w:rsid w:val="4B45104C"/>
    <w:rsid w:val="4B607184"/>
    <w:rsid w:val="51D42A18"/>
    <w:rsid w:val="535E1403"/>
    <w:rsid w:val="54324F24"/>
    <w:rsid w:val="56871D14"/>
    <w:rsid w:val="57407362"/>
    <w:rsid w:val="5CBA2826"/>
    <w:rsid w:val="61341408"/>
    <w:rsid w:val="65CC4888"/>
    <w:rsid w:val="682827B6"/>
    <w:rsid w:val="69BBC1A5"/>
    <w:rsid w:val="6AD627DF"/>
    <w:rsid w:val="6AF175B2"/>
    <w:rsid w:val="6FB70371"/>
    <w:rsid w:val="757A523F"/>
    <w:rsid w:val="76D76A84"/>
    <w:rsid w:val="78586D7C"/>
    <w:rsid w:val="7CFF7162"/>
    <w:rsid w:val="7D94D7BF"/>
    <w:rsid w:val="7EFF0E57"/>
    <w:rsid w:val="7FC610DE"/>
    <w:rsid w:val="7FF3AA6F"/>
    <w:rsid w:val="9F630494"/>
    <w:rsid w:val="BFA85E09"/>
    <w:rsid w:val="DCDC9AD0"/>
    <w:rsid w:val="EDAF029D"/>
    <w:rsid w:val="FBB33233"/>
    <w:rsid w:val="FBCD2A09"/>
    <w:rsid w:val="FFD5CF30"/>
    <w:rsid w:val="FFEB6D86"/>
    <w:rsid w:val="FFF8E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Char Char Char Char"/>
    <w:basedOn w:val="1"/>
    <w:qFormat/>
    <w:uiPriority w:val="0"/>
    <w:rPr>
      <w:rFonts w:eastAsia="宋体"/>
      <w:sz w:val="21"/>
    </w:rPr>
  </w:style>
  <w:style w:type="paragraph" w:customStyle="1" w:styleId="6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qFormat/>
    <w:uiPriority w:val="0"/>
    <w:pPr>
      <w:suppressAutoHyphens/>
      <w:ind w:left="720"/>
      <w:jc w:val="left"/>
    </w:pPr>
    <w:rPr>
      <w:rFonts w:eastAsia="Times New Roman"/>
      <w:kern w:val="0"/>
      <w:sz w:val="24"/>
      <w:szCs w:val="24"/>
      <w:lang w:eastAsia="ar-SA"/>
    </w:rPr>
  </w:style>
  <w:style w:type="paragraph" w:customStyle="1" w:styleId="73">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qFormat/>
    <w:uiPriority w:val="0"/>
    <w:pPr>
      <w:spacing w:line="360" w:lineRule="auto"/>
      <w:ind w:firstLine="149" w:firstLineChars="149"/>
    </w:pPr>
    <w:rPr>
      <w:rFonts w:ascii="黑体" w:hAnsi="Calibri" w:eastAsia="黑体" w:cs="宋体"/>
      <w:szCs w:val="28"/>
    </w:rPr>
  </w:style>
  <w:style w:type="paragraph" w:customStyle="1" w:styleId="81">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列表段落1"/>
    <w:basedOn w:val="1"/>
    <w:qFormat/>
    <w:uiPriority w:val="0"/>
    <w:pPr>
      <w:ind w:firstLine="420" w:firstLineChars="200"/>
    </w:pPr>
    <w:rPr>
      <w:rFonts w:eastAsia="Times New Roman"/>
      <w:sz w:val="21"/>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95">
    <w:name w:val="列表段落11"/>
    <w:basedOn w:val="1"/>
    <w:qFormat/>
    <w:uiPriority w:val="0"/>
    <w:pPr>
      <w:ind w:firstLine="420" w:firstLineChars="200"/>
    </w:pPr>
    <w:rPr>
      <w:rFonts w:eastAsia="Times New Roman"/>
      <w:szCs w:val="24"/>
    </w:rPr>
  </w:style>
  <w:style w:type="paragraph" w:styleId="96">
    <w:name w:val="List Paragraph"/>
    <w:basedOn w:val="1"/>
    <w:qFormat/>
    <w:uiPriority w:val="99"/>
    <w:pPr>
      <w:ind w:firstLine="420" w:firstLineChars="200"/>
    </w:pPr>
  </w:style>
  <w:style w:type="paragraph" w:customStyle="1" w:styleId="97">
    <w:name w:val="表格文字"/>
    <w:basedOn w:val="1"/>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mingyang\Library\Containers\com.kingsoft.wpsoffice.mac\Data\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21</Pages>
  <Words>11780</Words>
  <Characters>12731</Characters>
  <Lines>54</Lines>
  <Paragraphs>15</Paragraphs>
  <TotalTime>8</TotalTime>
  <ScaleCrop>false</ScaleCrop>
  <LinksUpToDate>false</LinksUpToDate>
  <CharactersWithSpaces>13816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2015-12-21T18:26:00Z</dcterms:created>
  <dc:creator>许慰玲</dc:creator>
  <cp:lastModifiedBy>天行健</cp:lastModifiedBy>
  <cp:lastPrinted>2015-06-12T16:58:00Z</cp:lastPrinted>
  <dcterms:modified xsi:type="dcterms:W3CDTF">2024-07-24T01:19:23Z</dcterms:modified>
  <dc:title>广东省政府采购中心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561C3C0D2C644EA19458907ABE5A3B07_13</vt:lpwstr>
  </property>
</Properties>
</file>