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ascii="宋体" w:hAnsi="宋体" w:eastAsia="宋体"/>
          <w:sz w:val="32"/>
        </w:rPr>
      </w:pPr>
    </w:p>
    <w:p>
      <w:pPr>
        <w:pStyle w:val="2"/>
        <w:kinsoku w:val="0"/>
        <w:wordWrap w:val="0"/>
        <w:topLinePunct/>
        <w:autoSpaceDE/>
        <w:spacing w:line="240" w:lineRule="auto"/>
        <w:jc w:val="center"/>
        <w:rPr>
          <w:rFonts w:ascii="宋体" w:hAnsi="宋体" w:eastAsia="宋体"/>
          <w:sz w:val="44"/>
        </w:rPr>
      </w:pPr>
      <w:r>
        <w:rPr>
          <w:rFonts w:hint="eastAsia" w:ascii="宋体" w:hAnsi="宋体" w:eastAsia="宋体"/>
          <w:sz w:val="44"/>
        </w:rPr>
        <w:t>汕头大学医学院技术服务招标项目</w:t>
      </w:r>
    </w:p>
    <w:p>
      <w:pPr>
        <w:kinsoku w:val="0"/>
        <w:wordWrap w:val="0"/>
        <w:topLinePunct/>
        <w:rPr>
          <w:rFonts w:ascii="宋体" w:eastAsia="宋体"/>
        </w:rPr>
      </w:pPr>
    </w:p>
    <w:p>
      <w:pPr>
        <w:pStyle w:val="2"/>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ind w:firstLine="1494"/>
        <w:rPr>
          <w:rFonts w:hint="eastAsia" w:ascii="宋体" w:hAnsi="宋体" w:eastAsia="宋体"/>
          <w:sz w:val="36"/>
          <w:lang w:val="en-US" w:eastAsia="zh-CN"/>
        </w:rPr>
      </w:pPr>
      <w:r>
        <w:rPr>
          <w:rFonts w:hint="eastAsia" w:ascii="宋体" w:hAnsi="宋体" w:eastAsia="宋体"/>
          <w:sz w:val="36"/>
        </w:rPr>
        <w:t>招标编号：设202</w:t>
      </w:r>
      <w:r>
        <w:rPr>
          <w:rFonts w:ascii="宋体" w:hAnsi="宋体" w:eastAsia="宋体"/>
          <w:sz w:val="36"/>
        </w:rPr>
        <w:t>2</w:t>
      </w:r>
      <w:r>
        <w:rPr>
          <w:rFonts w:hint="eastAsia" w:ascii="宋体" w:hAnsi="宋体" w:eastAsia="宋体"/>
          <w:sz w:val="36"/>
        </w:rPr>
        <w:t>-</w:t>
      </w:r>
      <w:r>
        <w:rPr>
          <w:rFonts w:ascii="宋体" w:hAnsi="宋体" w:eastAsia="宋体"/>
          <w:sz w:val="36"/>
        </w:rPr>
        <w:t xml:space="preserve">9 </w:t>
      </w:r>
      <w:r>
        <w:rPr>
          <w:rFonts w:hint="eastAsia" w:ascii="宋体" w:hAnsi="宋体" w:eastAsia="宋体"/>
          <w:sz w:val="36"/>
        </w:rPr>
        <w:t>-</w:t>
      </w:r>
      <w:r>
        <w:rPr>
          <w:rFonts w:hint="eastAsia" w:ascii="宋体" w:hAnsi="宋体" w:eastAsia="宋体"/>
          <w:sz w:val="36"/>
          <w:lang w:val="en-US" w:eastAsia="zh-CN"/>
        </w:rPr>
        <w:t>8</w:t>
      </w:r>
    </w:p>
    <w:p>
      <w:pPr>
        <w:kinsoku w:val="0"/>
        <w:wordWrap w:val="0"/>
        <w:topLinePunct/>
        <w:ind w:firstLine="1494"/>
        <w:rPr>
          <w:rFonts w:ascii="宋体" w:hAnsi="宋体" w:eastAsia="宋体"/>
          <w:sz w:val="32"/>
        </w:rPr>
      </w:pPr>
      <w:r>
        <w:rPr>
          <w:rFonts w:hint="eastAsia" w:ascii="宋体" w:hAnsi="宋体" w:eastAsia="宋体"/>
          <w:sz w:val="36"/>
        </w:rPr>
        <w:t>项目名称：</w:t>
      </w:r>
      <w:r>
        <w:rPr>
          <w:rFonts w:hint="eastAsia" w:ascii="宋体" w:hAnsi="宋体" w:cs="宋体"/>
          <w:b/>
          <w:bCs/>
          <w:sz w:val="30"/>
          <w:szCs w:val="30"/>
        </w:rPr>
        <w:t>汕头大学医学院在线开放课程制作项目</w:t>
      </w:r>
    </w:p>
    <w:p>
      <w:pPr>
        <w:kinsoku w:val="0"/>
        <w:wordWrap w:val="0"/>
        <w:topLinePunct/>
        <w:ind w:firstLine="1494"/>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jc w:val="center"/>
        <w:rPr>
          <w:rFonts w:ascii="宋体" w:hAnsi="宋体" w:eastAsia="宋体"/>
          <w:sz w:val="36"/>
        </w:rPr>
      </w:pPr>
    </w:p>
    <w:p>
      <w:pPr>
        <w:kinsoku w:val="0"/>
        <w:wordWrap w:val="0"/>
        <w:topLinePunct/>
        <w:jc w:val="center"/>
        <w:rPr>
          <w:rFonts w:ascii="宋体" w:hAnsi="宋体" w:eastAsia="宋体"/>
          <w:sz w:val="36"/>
        </w:rPr>
      </w:pPr>
      <w:r>
        <w:drawing>
          <wp:inline distT="0" distB="0" distL="114300" distR="114300">
            <wp:extent cx="752475" cy="828675"/>
            <wp:effectExtent l="0" t="0" r="952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7"/>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ascii="宋体" w:hAnsi="宋体" w:eastAsia="宋体"/>
        </w:rPr>
      </w:pPr>
    </w:p>
    <w:p>
      <w:pPr>
        <w:kinsoku w:val="0"/>
        <w:wordWrap w:val="0"/>
        <w:topLinePunct/>
        <w:jc w:val="center"/>
        <w:rPr>
          <w:rFonts w:ascii="宋体" w:hAnsi="宋体" w:eastAsia="宋体"/>
          <w:sz w:val="36"/>
        </w:rPr>
      </w:pPr>
      <w:r>
        <w:rPr>
          <w:rFonts w:hint="eastAsia" w:ascii="宋体" w:hAnsi="宋体" w:eastAsia="宋体"/>
          <w:sz w:val="36"/>
        </w:rPr>
        <w:t>汕头大学医学院</w:t>
      </w:r>
    </w:p>
    <w:p>
      <w:pPr>
        <w:kinsoku w:val="0"/>
        <w:wordWrap w:val="0"/>
        <w:topLinePunct/>
        <w:jc w:val="center"/>
        <w:rPr>
          <w:rFonts w:hint="eastAsia" w:ascii="宋体" w:hAnsi="宋体" w:eastAsia="宋体"/>
          <w:sz w:val="44"/>
          <w:lang w:val="en-US" w:eastAsia="zh-CN"/>
        </w:rPr>
      </w:pPr>
      <w:r>
        <w:rPr>
          <w:rFonts w:hint="eastAsia" w:ascii="宋体" w:hAnsi="宋体" w:eastAsia="宋体"/>
          <w:sz w:val="44"/>
        </w:rPr>
        <w:t>202</w:t>
      </w:r>
      <w:r>
        <w:rPr>
          <w:rFonts w:ascii="宋体" w:hAnsi="宋体" w:eastAsia="宋体"/>
          <w:sz w:val="44"/>
        </w:rPr>
        <w:t>2</w:t>
      </w:r>
      <w:r>
        <w:rPr>
          <w:rFonts w:hint="eastAsia" w:ascii="宋体" w:hAnsi="宋体" w:eastAsia="宋体"/>
          <w:sz w:val="44"/>
        </w:rPr>
        <w:t>．</w:t>
      </w:r>
      <w:r>
        <w:rPr>
          <w:rFonts w:ascii="宋体" w:hAnsi="宋体" w:eastAsia="宋体"/>
          <w:sz w:val="44"/>
        </w:rPr>
        <w:t xml:space="preserve">9 </w:t>
      </w:r>
      <w:r>
        <w:rPr>
          <w:rFonts w:hint="eastAsia" w:ascii="宋体" w:hAnsi="宋体" w:eastAsia="宋体"/>
          <w:sz w:val="44"/>
        </w:rPr>
        <w:t>.</w:t>
      </w:r>
      <w:r>
        <w:rPr>
          <w:rFonts w:ascii="宋体" w:hAnsi="宋体" w:eastAsia="宋体"/>
          <w:sz w:val="44"/>
        </w:rPr>
        <w:t xml:space="preserve"> </w:t>
      </w:r>
      <w:r>
        <w:rPr>
          <w:rFonts w:hint="eastAsia" w:ascii="宋体" w:hAnsi="宋体" w:eastAsia="宋体"/>
          <w:sz w:val="44"/>
          <w:lang w:val="en-US" w:eastAsia="zh-CN"/>
        </w:rPr>
        <w:t>8</w:t>
      </w: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pPr>
        <w:kinsoku w:val="0"/>
        <w:wordWrap w:val="0"/>
        <w:topLinePunct/>
        <w:jc w:val="center"/>
        <w:rPr>
          <w:rFonts w:ascii="宋体" w:hAnsi="Arial Narrow" w:eastAsia="宋体"/>
          <w:b/>
          <w:sz w:val="44"/>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pPr>
        <w:numPr>
          <w:ilvl w:val="0"/>
          <w:numId w:val="3"/>
        </w:numPr>
        <w:kinsoku w:val="0"/>
        <w:wordWrap w:val="0"/>
        <w:topLinePunct/>
        <w:rPr>
          <w:rFonts w:ascii="宋体" w:hAnsi="Arial Narrow" w:eastAsia="宋体"/>
        </w:rPr>
      </w:pPr>
      <w:r>
        <w:rPr>
          <w:rFonts w:hint="eastAsia" w:ascii="宋体" w:hAnsi="Arial Narrow" w:eastAsia="宋体"/>
        </w:rPr>
        <w:t>投标人须知</w:t>
      </w:r>
    </w:p>
    <w:p>
      <w:pPr>
        <w:numPr>
          <w:ilvl w:val="0"/>
          <w:numId w:val="3"/>
        </w:numPr>
        <w:kinsoku w:val="0"/>
        <w:wordWrap w:val="0"/>
        <w:topLinePunct/>
        <w:rPr>
          <w:rFonts w:ascii="宋体" w:hAnsi="Arial Narrow" w:eastAsia="宋体"/>
        </w:rPr>
      </w:pPr>
      <w:r>
        <w:rPr>
          <w:rFonts w:hint="eastAsia" w:ascii="宋体" w:hAnsi="Arial Narrow" w:eastAsia="宋体"/>
        </w:rPr>
        <w:t>招标项目的名称、性质和数量</w:t>
      </w:r>
    </w:p>
    <w:p>
      <w:pPr>
        <w:numPr>
          <w:ilvl w:val="0"/>
          <w:numId w:val="3"/>
        </w:numPr>
        <w:kinsoku w:val="0"/>
        <w:wordWrap w:val="0"/>
        <w:topLinePunct/>
        <w:rPr>
          <w:rFonts w:ascii="宋体" w:hAnsi="Arial Narrow" w:eastAsia="宋体"/>
        </w:rPr>
      </w:pPr>
      <w:r>
        <w:rPr>
          <w:rFonts w:hint="eastAsia" w:ascii="宋体" w:hAnsi="Arial Narrow" w:eastAsia="宋体"/>
        </w:rPr>
        <w:t>投标报价方式及报价要求</w:t>
      </w:r>
    </w:p>
    <w:p>
      <w:pPr>
        <w:numPr>
          <w:ilvl w:val="0"/>
          <w:numId w:val="3"/>
        </w:numPr>
        <w:kinsoku w:val="0"/>
        <w:wordWrap w:val="0"/>
        <w:topLinePunct/>
        <w:rPr>
          <w:rFonts w:ascii="宋体" w:hAnsi="Arial Narrow" w:eastAsia="宋体"/>
        </w:rPr>
      </w:pPr>
      <w:r>
        <w:rPr>
          <w:rFonts w:hint="eastAsia" w:ascii="宋体" w:hAnsi="Arial Narrow" w:eastAsia="宋体"/>
        </w:rPr>
        <w:t>提交投标书的方式、地点和截止日期</w:t>
      </w:r>
    </w:p>
    <w:p>
      <w:pPr>
        <w:numPr>
          <w:ilvl w:val="0"/>
          <w:numId w:val="3"/>
        </w:numPr>
        <w:kinsoku w:val="0"/>
        <w:wordWrap w:val="0"/>
        <w:topLinePunct/>
        <w:rPr>
          <w:rFonts w:ascii="宋体" w:hAnsi="Arial Narrow" w:eastAsia="宋体"/>
        </w:rPr>
      </w:pPr>
      <w:r>
        <w:rPr>
          <w:rFonts w:hint="eastAsia" w:ascii="宋体" w:hAnsi="Arial Narrow" w:eastAsia="宋体"/>
        </w:rPr>
        <w:t>评（议）标原则</w:t>
      </w:r>
    </w:p>
    <w:p>
      <w:pPr>
        <w:numPr>
          <w:ilvl w:val="0"/>
          <w:numId w:val="3"/>
        </w:numPr>
        <w:kinsoku w:val="0"/>
        <w:wordWrap w:val="0"/>
        <w:topLinePunct/>
        <w:rPr>
          <w:rFonts w:ascii="宋体" w:hAnsi="Arial Narrow" w:eastAsia="宋体"/>
        </w:rPr>
      </w:pPr>
      <w:r>
        <w:rPr>
          <w:rFonts w:hint="eastAsia" w:ascii="宋体" w:hAnsi="Arial Narrow" w:eastAsia="宋体"/>
        </w:rPr>
        <w:t>开标、评标、定标</w:t>
      </w:r>
    </w:p>
    <w:p>
      <w:pPr>
        <w:numPr>
          <w:ilvl w:val="0"/>
          <w:numId w:val="3"/>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技术规格要求和交货日期等</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项目内容数量</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主要技术指标、技术服务要求、时间</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技术服务质量及售后服务要求</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ascii="宋体" w:hAnsi="Arial Narrow" w:eastAsia="宋体"/>
          <w:b/>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ascii="宋体" w:hAnsi="Arial Narrow" w:eastAsia="宋体"/>
          <w:b/>
          <w:sz w:val="32"/>
        </w:rPr>
      </w:pPr>
    </w:p>
    <w:p>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ascii="宋体" w:hAnsi="Arial Narrow" w:eastAsia="宋体"/>
          <w:b/>
          <w:sz w:val="21"/>
        </w:rPr>
      </w:pPr>
      <w:r>
        <w:rPr>
          <w:rFonts w:hint="eastAsia" w:ascii="宋体" w:hAnsi="Arial Narrow" w:eastAsia="宋体"/>
          <w:b/>
          <w:sz w:val="21"/>
        </w:rPr>
        <w:t>一、投标人须知</w:t>
      </w:r>
    </w:p>
    <w:p>
      <w:pPr>
        <w:numPr>
          <w:ilvl w:val="0"/>
          <w:numId w:val="5"/>
        </w:numPr>
        <w:tabs>
          <w:tab w:val="left" w:pos="166"/>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正本（含资质文件）一份，副本五份[内容与正本一致]</w:t>
      </w:r>
      <w:r>
        <w:rPr>
          <w:rFonts w:hint="eastAsia" w:ascii="宋体" w:hAnsi="Arial Narrow" w:eastAsia="宋体"/>
          <w:sz w:val="18"/>
        </w:rPr>
        <w:t>。</w:t>
      </w:r>
    </w:p>
    <w:p>
      <w:pPr>
        <w:spacing w:line="540" w:lineRule="exact"/>
        <w:ind w:left="425"/>
        <w:rPr>
          <w:rFonts w:ascii="宋体" w:hAnsi="宋体" w:eastAsia="宋体"/>
          <w:b/>
          <w:sz w:val="21"/>
          <w:szCs w:val="21"/>
        </w:rPr>
      </w:pPr>
      <w:r>
        <w:rPr>
          <w:rFonts w:hint="eastAsia" w:ascii="宋体" w:hAnsi="宋体" w:eastAsia="宋体"/>
          <w:b/>
          <w:sz w:val="21"/>
          <w:szCs w:val="21"/>
        </w:rPr>
        <w:t>2.供应商资格要求</w:t>
      </w:r>
    </w:p>
    <w:p>
      <w:pPr>
        <w:spacing w:line="540" w:lineRule="exact"/>
        <w:rPr>
          <w:rFonts w:ascii="宋体" w:hAnsi="宋体" w:eastAsia="宋体"/>
          <w:sz w:val="18"/>
          <w:szCs w:val="18"/>
        </w:rPr>
      </w:pPr>
      <w:r>
        <w:rPr>
          <w:rFonts w:hint="eastAsia" w:ascii="宋体" w:hAnsi="宋体" w:eastAsia="宋体"/>
          <w:sz w:val="21"/>
          <w:szCs w:val="21"/>
        </w:rPr>
        <w:t xml:space="preserve">  </w:t>
      </w:r>
      <w:r>
        <w:rPr>
          <w:rFonts w:hint="eastAsia" w:ascii="宋体" w:hAnsi="宋体" w:eastAsia="宋体"/>
          <w:sz w:val="18"/>
          <w:szCs w:val="18"/>
        </w:rPr>
        <w:t xml:space="preserve"> （</w:t>
      </w:r>
      <w:r>
        <w:rPr>
          <w:rFonts w:ascii="宋体" w:hAnsi="宋体" w:eastAsia="宋体"/>
          <w:sz w:val="18"/>
          <w:szCs w:val="18"/>
        </w:rPr>
        <w:t>1</w:t>
      </w:r>
      <w:r>
        <w:rPr>
          <w:rFonts w:hint="eastAsia" w:ascii="宋体" w:hAnsi="宋体" w:eastAsia="宋体"/>
          <w:sz w:val="18"/>
          <w:szCs w:val="18"/>
        </w:rPr>
        <w:t>）</w:t>
      </w:r>
      <w:r>
        <w:rPr>
          <w:rFonts w:ascii="宋体" w:hAnsi="宋体" w:eastAsia="宋体"/>
          <w:sz w:val="18"/>
          <w:szCs w:val="18"/>
        </w:rPr>
        <w:t>具有独立承担民事责任的能力，投标人须在中国境内注册。</w:t>
      </w:r>
    </w:p>
    <w:p>
      <w:pPr>
        <w:spacing w:line="540" w:lineRule="exact"/>
        <w:rPr>
          <w:rFonts w:ascii="宋体" w:hAnsi="宋体" w:eastAsia="宋体"/>
          <w:sz w:val="18"/>
          <w:szCs w:val="18"/>
        </w:rPr>
      </w:pPr>
      <w:r>
        <w:rPr>
          <w:rFonts w:hint="eastAsia" w:ascii="宋体" w:hAnsi="宋体" w:eastAsia="宋体"/>
          <w:sz w:val="18"/>
          <w:szCs w:val="18"/>
        </w:rPr>
        <w:t xml:space="preserve">   （</w:t>
      </w:r>
      <w:r>
        <w:rPr>
          <w:rFonts w:ascii="宋体" w:hAnsi="宋体" w:eastAsia="宋体"/>
          <w:sz w:val="18"/>
          <w:szCs w:val="18"/>
        </w:rPr>
        <w:t>2</w:t>
      </w:r>
      <w:r>
        <w:rPr>
          <w:rFonts w:hint="eastAsia" w:ascii="宋体" w:hAnsi="宋体" w:eastAsia="宋体"/>
          <w:sz w:val="18"/>
          <w:szCs w:val="18"/>
        </w:rPr>
        <w:t>）</w:t>
      </w:r>
      <w:r>
        <w:rPr>
          <w:rFonts w:ascii="宋体" w:hAnsi="宋体" w:eastAsia="宋体"/>
          <w:sz w:val="18"/>
          <w:szCs w:val="18"/>
        </w:rPr>
        <w:t>参加本项目招标采购活动前三年内，在经营活动中没有重大违法记录（投标人自行提供书面声明）。</w:t>
      </w:r>
    </w:p>
    <w:p>
      <w:pPr>
        <w:spacing w:line="540" w:lineRule="exact"/>
        <w:ind w:left="425"/>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3</w:t>
      </w:r>
      <w:r>
        <w:rPr>
          <w:rFonts w:hint="eastAsia" w:ascii="宋体" w:hAnsi="宋体" w:eastAsia="宋体"/>
          <w:sz w:val="18"/>
          <w:szCs w:val="18"/>
        </w:rPr>
        <w:t>）</w:t>
      </w:r>
      <w:r>
        <w:rPr>
          <w:rFonts w:ascii="宋体" w:hAnsi="宋体" w:eastAsia="宋体"/>
          <w:sz w:val="18"/>
          <w:szCs w:val="18"/>
        </w:rPr>
        <w:t>投标人单位负责人为同一人或者存在控股、管理关系的不同单位，不得参加本次投标。</w:t>
      </w:r>
    </w:p>
    <w:p>
      <w:pPr>
        <w:spacing w:line="540" w:lineRule="exact"/>
        <w:ind w:left="425"/>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4</w:t>
      </w:r>
      <w:r>
        <w:rPr>
          <w:rFonts w:hint="eastAsia" w:ascii="宋体" w:hAnsi="宋体" w:eastAsia="宋体"/>
          <w:sz w:val="18"/>
          <w:szCs w:val="18"/>
        </w:rPr>
        <w:t>）</w:t>
      </w:r>
      <w:r>
        <w:rPr>
          <w:rFonts w:ascii="宋体" w:hAnsi="宋体" w:eastAsia="宋体"/>
          <w:sz w:val="18"/>
          <w:szCs w:val="18"/>
        </w:rPr>
        <w:t>投标人未被列入“信用中国”网站失信被执行人、重大税收违法案件严重违法失信行为记录名单。</w:t>
      </w:r>
    </w:p>
    <w:p>
      <w:pPr>
        <w:spacing w:line="540" w:lineRule="exact"/>
        <w:ind w:left="425"/>
        <w:rPr>
          <w:rFonts w:ascii="宋体" w:hAnsi="宋体" w:eastAsia="宋体"/>
          <w:sz w:val="21"/>
          <w:szCs w:val="21"/>
        </w:rPr>
      </w:pPr>
      <w:r>
        <w:rPr>
          <w:rFonts w:hint="eastAsia" w:ascii="宋体" w:hAnsi="宋体" w:eastAsia="宋体"/>
          <w:sz w:val="18"/>
          <w:szCs w:val="18"/>
        </w:rPr>
        <w:t>（</w:t>
      </w:r>
      <w:r>
        <w:rPr>
          <w:rFonts w:ascii="宋体" w:hAnsi="宋体" w:eastAsia="宋体"/>
          <w:sz w:val="18"/>
          <w:szCs w:val="18"/>
        </w:rPr>
        <w:t>5</w:t>
      </w:r>
      <w:r>
        <w:rPr>
          <w:rFonts w:hint="eastAsia" w:ascii="宋体" w:hAnsi="宋体" w:eastAsia="宋体"/>
          <w:sz w:val="18"/>
          <w:szCs w:val="18"/>
        </w:rPr>
        <w:t>）</w:t>
      </w:r>
      <w:r>
        <w:rPr>
          <w:rFonts w:ascii="宋体" w:hAnsi="宋体" w:eastAsia="宋体"/>
          <w:sz w:val="18"/>
          <w:szCs w:val="18"/>
        </w:rPr>
        <w:t>本项目不接受联合体投标</w:t>
      </w:r>
      <w:r>
        <w:rPr>
          <w:rFonts w:ascii="宋体" w:hAnsi="宋体" w:eastAsia="宋体"/>
          <w:sz w:val="21"/>
          <w:szCs w:val="21"/>
        </w:rPr>
        <w:t>。</w:t>
      </w:r>
    </w:p>
    <w:p>
      <w:pPr>
        <w:numPr>
          <w:ilvl w:val="0"/>
          <w:numId w:val="5"/>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5"/>
        </w:numPr>
        <w:kinsoku w:val="0"/>
        <w:wordWrap w:val="0"/>
        <w:topLinePunct/>
        <w:ind w:firstLine="73"/>
        <w:rPr>
          <w:rFonts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如有必要，投标人应接受招标人的答辩要求。</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5"/>
        </w:numPr>
        <w:kinsoku w:val="0"/>
        <w:wordWrap w:val="0"/>
        <w:topLinePunct/>
        <w:ind w:firstLine="73"/>
        <w:rPr>
          <w:rFonts w:ascii="宋体" w:hAnsi="Arial Narrow" w:eastAsia="宋体"/>
          <w:b/>
          <w:sz w:val="21"/>
          <w:szCs w:val="21"/>
        </w:rPr>
      </w:pPr>
      <w:r>
        <w:rPr>
          <w:rFonts w:hint="eastAsia" w:ascii="宋体" w:hAnsi="Arial Narrow" w:eastAsia="宋体"/>
          <w:sz w:val="18"/>
        </w:rPr>
        <w:t>向我院缴交资料费时用此专用户头：</w:t>
      </w:r>
      <w:r>
        <w:rPr>
          <w:rFonts w:hint="eastAsia" w:ascii="宋体" w:hAnsi="Arial Narrow" w:eastAsia="宋体"/>
          <w:b/>
          <w:sz w:val="21"/>
          <w:szCs w:val="21"/>
        </w:rPr>
        <w:t xml:space="preserve">单位名称：（汕头大学医学院 ）  帐号：（705557744822 ）  开户行：（中行嘉泰支行） </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投标人必须接受</w:t>
      </w:r>
      <w:r>
        <w:rPr>
          <w:rFonts w:hint="eastAsia" w:ascii="宋体" w:hAnsi="Arial Narrow" w:eastAsia="宋体"/>
          <w:b/>
          <w:bCs/>
          <w:sz w:val="18"/>
        </w:rPr>
        <w:t>货到后验收合格方给予付款</w:t>
      </w:r>
      <w:r>
        <w:rPr>
          <w:rFonts w:hint="eastAsia" w:ascii="宋体" w:hAnsi="Arial Narrow" w:eastAsia="宋体"/>
          <w:sz w:val="18"/>
        </w:rPr>
        <w:t>的条款。</w:t>
      </w:r>
    </w:p>
    <w:p>
      <w:pPr>
        <w:kinsoku w:val="0"/>
        <w:wordWrap w:val="0"/>
        <w:topLinePunct/>
        <w:ind w:left="425"/>
        <w:rPr>
          <w:rFonts w:ascii="宋体" w:hAnsi="Arial Narrow" w:eastAsia="宋体"/>
          <w:sz w:val="21"/>
        </w:rPr>
      </w:pPr>
      <w:r>
        <w:rPr>
          <w:rFonts w:hint="eastAsia" w:ascii="宋体" w:hAnsi="Arial Narrow" w:eastAsia="宋体"/>
          <w:sz w:val="18"/>
        </w:rPr>
        <w:t xml:space="preserve">   </w:t>
      </w:r>
    </w:p>
    <w:p>
      <w:pPr>
        <w:kinsoku w:val="0"/>
        <w:wordWrap w:val="0"/>
        <w:topLinePunct/>
        <w:rPr>
          <w:rFonts w:ascii="宋体" w:hAnsi="Arial Narrow" w:eastAsia="宋体"/>
          <w:b/>
          <w:sz w:val="21"/>
        </w:rPr>
      </w:pPr>
      <w:r>
        <w:rPr>
          <w:rFonts w:hint="eastAsia" w:ascii="宋体" w:hAnsi="Arial Narrow" w:eastAsia="宋体"/>
          <w:b/>
          <w:sz w:val="21"/>
        </w:rPr>
        <w:t>二、招标项目的名称</w:t>
      </w:r>
    </w:p>
    <w:p>
      <w:pPr>
        <w:kinsoku w:val="0"/>
        <w:wordWrap w:val="0"/>
        <w:topLinePunct/>
        <w:rPr>
          <w:rFonts w:ascii="宋体" w:hAnsi="Arial Narrow"/>
          <w:b/>
          <w:sz w:val="21"/>
          <w:szCs w:val="21"/>
        </w:rPr>
      </w:pPr>
      <w:r>
        <w:rPr>
          <w:rFonts w:hint="eastAsia" w:ascii="宋体" w:hAnsi="宋体" w:cs="宋体"/>
          <w:b/>
          <w:bCs/>
          <w:sz w:val="21"/>
          <w:szCs w:val="21"/>
        </w:rPr>
        <w:t>汕头大学医学院在线开放课程制作项目(预算</w:t>
      </w:r>
      <w:r>
        <w:rPr>
          <w:rFonts w:ascii="宋体" w:hAnsi="宋体" w:cs="宋体"/>
          <w:b/>
          <w:bCs/>
          <w:sz w:val="21"/>
          <w:szCs w:val="21"/>
        </w:rPr>
        <w:t>13</w:t>
      </w:r>
      <w:r>
        <w:rPr>
          <w:rFonts w:hint="eastAsia" w:ascii="宋体" w:hAnsi="宋体" w:cs="宋体"/>
          <w:b/>
          <w:bCs/>
          <w:sz w:val="21"/>
          <w:szCs w:val="21"/>
        </w:rPr>
        <w:t>0000元）</w:t>
      </w:r>
    </w:p>
    <w:p>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pPr>
        <w:tabs>
          <w:tab w:val="left" w:pos="0"/>
        </w:tabs>
        <w:kinsoku w:val="0"/>
        <w:wordWrap w:val="0"/>
        <w:topLinePunct/>
        <w:rPr>
          <w:rFonts w:ascii="宋体" w:hAnsi="Arial Narrow" w:eastAsia="宋体"/>
          <w:sz w:val="18"/>
        </w:rPr>
      </w:pPr>
      <w:r>
        <w:rPr>
          <w:rFonts w:hint="eastAsia" w:ascii="宋体" w:hAnsi="Arial Narrow" w:eastAsia="宋体"/>
          <w:sz w:val="18"/>
        </w:rPr>
        <w:t>报价方式：</w:t>
      </w:r>
      <w:r>
        <w:rPr>
          <w:rFonts w:hint="eastAsia" w:ascii="宋体" w:hAnsi="Arial Narrow" w:eastAsia="宋体"/>
          <w:b/>
          <w:szCs w:val="28"/>
        </w:rPr>
        <w:t>仅以</w:t>
      </w:r>
      <w:r>
        <w:rPr>
          <w:rFonts w:hint="eastAsia" w:ascii="宋体" w:hAnsi="Arial Narrow" w:eastAsia="宋体"/>
          <w:b/>
          <w:bCs/>
          <w:szCs w:val="28"/>
        </w:rPr>
        <w:t>人民币</w:t>
      </w:r>
      <w:r>
        <w:rPr>
          <w:rFonts w:hint="eastAsia" w:ascii="宋体" w:hAnsi="Arial Narrow" w:eastAsia="宋体"/>
          <w:b/>
          <w:szCs w:val="28"/>
        </w:rPr>
        <w:t>报价</w:t>
      </w:r>
      <w:r>
        <w:rPr>
          <w:rFonts w:hint="eastAsia" w:ascii="宋体" w:hAnsi="Arial Narrow" w:eastAsia="宋体"/>
          <w:sz w:val="18"/>
        </w:rPr>
        <w:t>。</w:t>
      </w: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四、提交投标书的方式、地点和截止时间</w:t>
      </w:r>
    </w:p>
    <w:p>
      <w:pPr>
        <w:numPr>
          <w:ilvl w:val="0"/>
          <w:numId w:val="6"/>
        </w:numPr>
        <w:kinsoku w:val="0"/>
        <w:wordWrap w:val="0"/>
        <w:topLinePunct/>
        <w:ind w:firstLine="73"/>
        <w:rPr>
          <w:rFonts w:ascii="宋体" w:hAnsi="Arial Narrow" w:eastAsia="宋体"/>
          <w:sz w:val="18"/>
        </w:rPr>
      </w:pPr>
      <w:r>
        <w:rPr>
          <w:rFonts w:hint="eastAsia" w:ascii="宋体" w:hAnsi="Arial Narrow" w:eastAsia="宋体"/>
          <w:sz w:val="18"/>
        </w:rPr>
        <w:t>投标书必须以密封加盖骑缝章的形式送达汕头新陵路22号汕头大学医学院设备科</w:t>
      </w:r>
    </w:p>
    <w:p>
      <w:pPr>
        <w:kinsoku w:val="0"/>
        <w:wordWrap w:val="0"/>
        <w:topLinePunct/>
        <w:ind w:firstLine="830"/>
        <w:rPr>
          <w:rFonts w:ascii="宋体" w:hAnsi="Arial Narrow" w:eastAsia="宋体"/>
          <w:sz w:val="18"/>
        </w:rPr>
      </w:pPr>
      <w:r>
        <w:rPr>
          <w:rFonts w:hint="eastAsia" w:ascii="宋体" w:hAnsi="Arial Narrow" w:eastAsia="宋体"/>
          <w:sz w:val="18"/>
        </w:rPr>
        <w:t>联系人：方冶、杨成瑜</w:t>
      </w:r>
    </w:p>
    <w:p>
      <w:pPr>
        <w:kinsoku w:val="0"/>
        <w:wordWrap w:val="0"/>
        <w:topLinePunct/>
        <w:ind w:firstLine="830"/>
        <w:rPr>
          <w:rFonts w:ascii="宋体" w:hAnsi="Arial Narrow" w:eastAsia="宋体"/>
          <w:sz w:val="18"/>
        </w:rPr>
      </w:pPr>
      <w:r>
        <w:rPr>
          <w:rFonts w:hint="eastAsia" w:ascii="宋体" w:hAnsi="Arial Narrow" w:eastAsia="宋体"/>
          <w:sz w:val="18"/>
        </w:rPr>
        <w:t>联系电话：（0754）88900477</w:t>
      </w:r>
    </w:p>
    <w:p>
      <w:pPr>
        <w:kinsoku w:val="0"/>
        <w:wordWrap w:val="0"/>
        <w:topLinePunct/>
        <w:ind w:firstLine="830"/>
        <w:rPr>
          <w:rFonts w:ascii="宋体" w:hAnsi="Arial Narrow" w:eastAsia="宋体"/>
          <w:sz w:val="18"/>
        </w:rPr>
      </w:pPr>
      <w:r>
        <w:rPr>
          <w:rFonts w:hint="eastAsia" w:ascii="宋体" w:hAnsi="Arial Narrow" w:eastAsia="宋体"/>
          <w:sz w:val="18"/>
        </w:rPr>
        <w:t>传真电话：（0754）88900305</w:t>
      </w:r>
    </w:p>
    <w:p>
      <w:pPr>
        <w:kinsoku w:val="0"/>
        <w:wordWrap w:val="0"/>
        <w:topLinePunct/>
        <w:ind w:firstLine="780"/>
        <w:rPr>
          <w:rFonts w:ascii="宋体" w:hAnsi="Arial Narrow" w:eastAsia="宋体"/>
          <w:b/>
          <w:bCs/>
          <w:i/>
          <w:iCs/>
          <w:sz w:val="24"/>
        </w:rPr>
      </w:pPr>
    </w:p>
    <w:p>
      <w:pPr>
        <w:kinsoku w:val="0"/>
        <w:wordWrap w:val="0"/>
        <w:topLinePunct/>
        <w:ind w:firstLine="780"/>
        <w:rPr>
          <w:rFonts w:ascii="宋体" w:hAnsi="Arial Narrow" w:eastAsia="宋体"/>
          <w:b/>
          <w:bCs/>
          <w:i/>
          <w:iCs/>
          <w:sz w:val="24"/>
        </w:rPr>
      </w:pPr>
      <w:r>
        <w:rPr>
          <w:rFonts w:hint="eastAsia" w:ascii="宋体" w:hAnsi="Arial Narrow" w:eastAsia="宋体"/>
          <w:b/>
          <w:bCs/>
          <w:i/>
          <w:iCs/>
          <w:sz w:val="24"/>
        </w:rPr>
        <w:t>投标截止时间：202</w:t>
      </w:r>
      <w:r>
        <w:rPr>
          <w:rFonts w:ascii="宋体" w:hAnsi="Arial Narrow" w:eastAsia="宋体"/>
          <w:b/>
          <w:bCs/>
          <w:i/>
          <w:iCs/>
          <w:sz w:val="24"/>
        </w:rPr>
        <w:t>2</w:t>
      </w:r>
      <w:r>
        <w:rPr>
          <w:rFonts w:hint="eastAsia" w:ascii="宋体" w:hAnsi="Arial Narrow" w:eastAsia="宋体"/>
          <w:b/>
          <w:bCs/>
          <w:i/>
          <w:iCs/>
          <w:sz w:val="24"/>
        </w:rPr>
        <w:t>年</w:t>
      </w:r>
      <w:r>
        <w:rPr>
          <w:rFonts w:ascii="宋体" w:hAnsi="Arial Narrow" w:eastAsia="宋体"/>
          <w:b/>
          <w:bCs/>
          <w:i/>
          <w:iCs/>
          <w:sz w:val="24"/>
        </w:rPr>
        <w:t xml:space="preserve">  </w:t>
      </w:r>
      <w:r>
        <w:rPr>
          <w:rFonts w:hint="eastAsia" w:ascii="宋体" w:hAnsi="Arial Narrow" w:eastAsia="宋体"/>
          <w:b/>
          <w:bCs/>
          <w:i/>
          <w:iCs/>
          <w:sz w:val="24"/>
          <w:lang w:val="en-US" w:eastAsia="zh-CN"/>
        </w:rPr>
        <w:t>9</w:t>
      </w:r>
      <w:r>
        <w:rPr>
          <w:rFonts w:hint="eastAsia" w:ascii="宋体" w:hAnsi="Arial Narrow" w:eastAsia="宋体"/>
          <w:b/>
          <w:bCs/>
          <w:i/>
          <w:iCs/>
          <w:sz w:val="24"/>
        </w:rPr>
        <w:t>月</w:t>
      </w:r>
      <w:r>
        <w:rPr>
          <w:rFonts w:hint="eastAsia" w:ascii="宋体" w:hAnsi="Arial Narrow" w:eastAsia="宋体"/>
          <w:b/>
          <w:bCs/>
          <w:i/>
          <w:iCs/>
          <w:sz w:val="24"/>
          <w:lang w:val="en-US" w:eastAsia="zh-CN"/>
        </w:rPr>
        <w:t>19</w:t>
      </w:r>
      <w:bookmarkStart w:id="0" w:name="_GoBack"/>
      <w:bookmarkEnd w:id="0"/>
      <w:r>
        <w:rPr>
          <w:rFonts w:hint="eastAsia" w:ascii="宋体" w:hAnsi="Arial Narrow" w:eastAsia="宋体"/>
          <w:b/>
          <w:bCs/>
          <w:i/>
          <w:iCs/>
          <w:sz w:val="24"/>
        </w:rPr>
        <w:t>日上午9点30分</w:t>
      </w:r>
      <w:r>
        <w:rPr>
          <w:rFonts w:ascii="宋体" w:hAnsi="Arial Narrow" w:eastAsia="宋体"/>
          <w:b/>
          <w:bCs/>
          <w:i/>
          <w:iCs/>
          <w:sz w:val="24"/>
        </w:rPr>
        <w:t xml:space="preserve">   </w:t>
      </w:r>
      <w:r>
        <w:rPr>
          <w:rFonts w:hint="eastAsia" w:ascii="宋体" w:hAnsi="Arial Narrow" w:eastAsia="宋体"/>
          <w:b/>
          <w:bCs/>
          <w:i/>
          <w:iCs/>
          <w:sz w:val="24"/>
        </w:rPr>
        <w:t>(北京时间)</w:t>
      </w:r>
    </w:p>
    <w:p>
      <w:pPr>
        <w:kinsoku w:val="0"/>
        <w:wordWrap w:val="0"/>
        <w:topLinePunct/>
        <w:rPr>
          <w:rFonts w:ascii="宋体" w:hAnsi="Arial Narrow" w:eastAsia="宋体"/>
          <w:b/>
          <w:sz w:val="21"/>
        </w:rPr>
      </w:pPr>
      <w:r>
        <w:rPr>
          <w:rFonts w:hint="eastAsia" w:ascii="宋体" w:hAnsi="Arial Narrow" w:eastAsia="宋体"/>
          <w:b/>
          <w:sz w:val="21"/>
        </w:rPr>
        <w:t>五、评（议）标原则</w:t>
      </w:r>
    </w:p>
    <w:p>
      <w:pPr>
        <w:kinsoku w:val="0"/>
        <w:wordWrap w:val="0"/>
        <w:topLinePunct/>
        <w:rPr>
          <w:rFonts w:ascii="宋体" w:hAnsi="Arial Narrow" w:eastAsia="宋体"/>
          <w:b/>
          <w:sz w:val="21"/>
        </w:rPr>
      </w:pPr>
      <w:r>
        <w:rPr>
          <w:rFonts w:hint="eastAsia" w:ascii="宋体" w:eastAsia="宋体"/>
          <w:sz w:val="18"/>
        </w:rPr>
        <w:t xml:space="preserve">   1.本次采购采用综合评分法，按分数高低选出中标候选人。</w:t>
      </w:r>
    </w:p>
    <w:p>
      <w:pPr>
        <w:pStyle w:val="2"/>
      </w:pPr>
      <w:r>
        <w:rPr>
          <w:rFonts w:hint="eastAsia" w:ascii="宋体" w:eastAsia="宋体"/>
          <w:sz w:val="18"/>
        </w:rPr>
        <w:t xml:space="preserve">   2.</w:t>
      </w:r>
      <w:r>
        <w:rPr>
          <w:rFonts w:hint="eastAsia"/>
        </w:rPr>
        <w:t xml:space="preserve"> </w:t>
      </w:r>
      <w:r>
        <w:rPr>
          <w:rFonts w:hint="eastAsia"/>
          <w:sz w:val="21"/>
          <w:szCs w:val="21"/>
        </w:rPr>
        <w:t>评分表：</w:t>
      </w:r>
    </w:p>
    <w:p>
      <w:pPr>
        <w:pStyle w:val="19"/>
        <w:tabs>
          <w:tab w:val="left" w:pos="-166"/>
        </w:tabs>
        <w:kinsoku w:val="0"/>
        <w:wordWrap w:val="0"/>
        <w:topLinePunct/>
        <w:ind w:left="498" w:leftChars="150" w:firstLine="440" w:firstLineChars="190"/>
        <w:rPr>
          <w:rFonts w:ascii="宋体" w:eastAsia="宋体"/>
          <w:sz w:val="18"/>
        </w:rPr>
      </w:pPr>
    </w:p>
    <w:tbl>
      <w:tblPr>
        <w:tblStyle w:val="24"/>
        <w:tblW w:w="8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47"/>
        <w:gridCol w:w="4637"/>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0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序号</w:t>
            </w:r>
          </w:p>
        </w:tc>
        <w:tc>
          <w:tcPr>
            <w:tcW w:w="1247"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分值项</w:t>
            </w:r>
          </w:p>
        </w:tc>
        <w:tc>
          <w:tcPr>
            <w:tcW w:w="4637"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价格分</w:t>
            </w:r>
          </w:p>
        </w:tc>
        <w:tc>
          <w:tcPr>
            <w:tcW w:w="1495"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分值上限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1247"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投标价格</w:t>
            </w:r>
          </w:p>
        </w:tc>
        <w:tc>
          <w:tcPr>
            <w:tcW w:w="4637" w:type="dxa"/>
            <w:vAlign w:val="center"/>
          </w:tcPr>
          <w:p>
            <w:pPr>
              <w:pStyle w:val="13"/>
              <w:contextualSpacing/>
              <w:rPr>
                <w:rFonts w:hAnsi="宋体" w:cs="宋体"/>
                <w:color w:val="000000"/>
                <w:sz w:val="21"/>
                <w:szCs w:val="21"/>
              </w:rPr>
            </w:pPr>
            <w:r>
              <w:rPr>
                <w:rFonts w:hint="eastAsia" w:hAnsi="宋体" w:cs="宋体"/>
                <w:color w:val="000000"/>
                <w:sz w:val="21"/>
                <w:szCs w:val="21"/>
              </w:rPr>
              <w:t>实质性响应招标文件要求且投标价格最低的投标价为基准价，其价格分为满分。其他投标人的价格分统一按照下列公式计算：投标报价得分=（评标基准价/投标报价）×30%×100</w:t>
            </w:r>
          </w:p>
        </w:tc>
        <w:tc>
          <w:tcPr>
            <w:tcW w:w="1495"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083" w:type="dxa"/>
            <w:gridSpan w:val="4"/>
            <w:vAlign w:val="center"/>
          </w:tcPr>
          <w:p>
            <w:pPr>
              <w:jc w:val="center"/>
              <w:rPr>
                <w:rFonts w:ascii="宋体" w:hAnsi="宋体" w:eastAsia="宋体" w:cs="宋体"/>
                <w:color w:val="000000"/>
                <w:sz w:val="21"/>
                <w:szCs w:val="21"/>
              </w:rPr>
            </w:pPr>
            <w:r>
              <w:rPr>
                <w:rFonts w:hint="eastAsia" w:ascii="宋体" w:hAnsi="宋体" w:eastAsia="宋体" w:cs="宋体"/>
                <w:sz w:val="21"/>
                <w:szCs w:val="21"/>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70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1247" w:type="dxa"/>
            <w:vAlign w:val="center"/>
          </w:tcPr>
          <w:p>
            <w:pPr>
              <w:jc w:val="center"/>
              <w:rPr>
                <w:rFonts w:ascii="宋体" w:hAnsi="宋体" w:eastAsia="宋体" w:cs="宋体"/>
                <w:sz w:val="21"/>
                <w:szCs w:val="21"/>
              </w:rPr>
            </w:pPr>
            <w:r>
              <w:rPr>
                <w:rFonts w:hint="eastAsia" w:ascii="宋体" w:hAnsi="宋体" w:eastAsia="宋体" w:cs="宋体"/>
                <w:sz w:val="21"/>
                <w:szCs w:val="21"/>
              </w:rPr>
              <w:t>技术响应</w:t>
            </w:r>
          </w:p>
        </w:tc>
        <w:tc>
          <w:tcPr>
            <w:tcW w:w="4637" w:type="dxa"/>
            <w:vAlign w:val="center"/>
          </w:tcPr>
          <w:p>
            <w:pPr>
              <w:rPr>
                <w:rFonts w:ascii="宋体" w:hAnsi="宋体" w:eastAsia="宋体" w:cs="宋体"/>
                <w:sz w:val="21"/>
                <w:szCs w:val="21"/>
              </w:rPr>
            </w:pPr>
            <w:r>
              <w:rPr>
                <w:rFonts w:hint="eastAsia" w:ascii="宋体" w:hAnsi="宋体" w:eastAsia="宋体" w:cs="宋体"/>
                <w:sz w:val="21"/>
                <w:szCs w:val="21"/>
              </w:rPr>
              <w:t>根据投标文件中对招标文件服务需求的响应情况进行打分，全部满足招标要求得</w:t>
            </w:r>
            <w:r>
              <w:rPr>
                <w:rFonts w:ascii="宋体" w:hAnsi="宋体" w:eastAsia="宋体" w:cs="宋体"/>
                <w:sz w:val="21"/>
                <w:szCs w:val="21"/>
              </w:rPr>
              <w:t>5</w:t>
            </w:r>
            <w:r>
              <w:rPr>
                <w:rFonts w:hint="eastAsia" w:ascii="宋体" w:hAnsi="宋体" w:eastAsia="宋体" w:cs="宋体"/>
                <w:sz w:val="21"/>
                <w:szCs w:val="21"/>
              </w:rPr>
              <w:t>分，不满足带“▲”要求，每项扣</w:t>
            </w:r>
            <w:r>
              <w:rPr>
                <w:rFonts w:ascii="宋体" w:hAnsi="宋体" w:eastAsia="宋体" w:cs="宋体"/>
                <w:sz w:val="21"/>
                <w:szCs w:val="21"/>
              </w:rPr>
              <w:t>1</w:t>
            </w:r>
            <w:r>
              <w:rPr>
                <w:rFonts w:hint="eastAsia" w:ascii="宋体" w:hAnsi="宋体" w:eastAsia="宋体" w:cs="宋体"/>
                <w:sz w:val="21"/>
                <w:szCs w:val="21"/>
              </w:rPr>
              <w:t>分，不满足一般要求，每项扣1分，扣到0分为止。</w:t>
            </w:r>
          </w:p>
        </w:tc>
        <w:tc>
          <w:tcPr>
            <w:tcW w:w="1495"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70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1247" w:type="dxa"/>
            <w:vAlign w:val="center"/>
          </w:tcPr>
          <w:p>
            <w:pPr>
              <w:jc w:val="center"/>
              <w:rPr>
                <w:rFonts w:ascii="宋体" w:hAnsi="宋体" w:eastAsia="宋体" w:cs="宋体"/>
                <w:sz w:val="21"/>
                <w:szCs w:val="21"/>
              </w:rPr>
            </w:pPr>
            <w:r>
              <w:rPr>
                <w:rFonts w:hint="eastAsia" w:ascii="宋体" w:hAnsi="宋体" w:eastAsia="宋体" w:cs="宋体"/>
                <w:sz w:val="21"/>
                <w:szCs w:val="21"/>
              </w:rPr>
              <w:t>国际化与国内影响力</w:t>
            </w:r>
          </w:p>
        </w:tc>
        <w:tc>
          <w:tcPr>
            <w:tcW w:w="4637" w:type="dxa"/>
            <w:vAlign w:val="center"/>
          </w:tcPr>
          <w:p>
            <w:pPr>
              <w:rPr>
                <w:rFonts w:ascii="宋体" w:hAnsi="宋体" w:eastAsia="宋体" w:cs="宋体"/>
                <w:sz w:val="21"/>
                <w:szCs w:val="21"/>
              </w:rPr>
            </w:pPr>
            <w:r>
              <w:rPr>
                <w:rFonts w:hint="eastAsia" w:ascii="宋体" w:hAnsi="宋体" w:eastAsia="宋体" w:cs="宋体"/>
                <w:sz w:val="21"/>
                <w:szCs w:val="21"/>
              </w:rPr>
              <w:t>为提高我校国际影响力，系统需具有对接国外慕课资源平台的能力:</w:t>
            </w:r>
          </w:p>
          <w:p>
            <w:pPr>
              <w:rPr>
                <w:rFonts w:ascii="宋体" w:hAnsi="宋体" w:eastAsia="宋体" w:cs="宋体"/>
                <w:sz w:val="21"/>
                <w:szCs w:val="21"/>
              </w:rPr>
            </w:pPr>
            <w:r>
              <w:rPr>
                <w:rFonts w:hint="eastAsia" w:ascii="宋体" w:hAnsi="宋体" w:eastAsia="宋体" w:cs="宋体"/>
                <w:sz w:val="21"/>
                <w:szCs w:val="21"/>
              </w:rPr>
              <w:t>1、引入海外大学机构开设的课程，30门以上得</w:t>
            </w:r>
            <w:r>
              <w:rPr>
                <w:rFonts w:ascii="宋体" w:hAnsi="宋体" w:eastAsia="宋体" w:cs="宋体"/>
                <w:sz w:val="21"/>
                <w:szCs w:val="21"/>
              </w:rPr>
              <w:t>6</w:t>
            </w:r>
            <w:r>
              <w:rPr>
                <w:rFonts w:hint="eastAsia" w:ascii="宋体" w:hAnsi="宋体" w:eastAsia="宋体" w:cs="宋体"/>
                <w:sz w:val="21"/>
                <w:szCs w:val="21"/>
              </w:rPr>
              <w:t>分，21-30门得</w:t>
            </w:r>
            <w:r>
              <w:rPr>
                <w:rFonts w:ascii="宋体" w:hAnsi="宋体" w:eastAsia="宋体" w:cs="宋体"/>
                <w:sz w:val="21"/>
                <w:szCs w:val="21"/>
              </w:rPr>
              <w:t>4</w:t>
            </w:r>
            <w:r>
              <w:rPr>
                <w:rFonts w:hint="eastAsia" w:ascii="宋体" w:hAnsi="宋体" w:eastAsia="宋体" w:cs="宋体"/>
                <w:sz w:val="21"/>
                <w:szCs w:val="21"/>
              </w:rPr>
              <w:t>分，11-20门得2分，10门及以下得1分，需提供清单及证明文件；</w:t>
            </w:r>
          </w:p>
          <w:p>
            <w:pPr>
              <w:rPr>
                <w:rFonts w:ascii="宋体" w:hAnsi="宋体" w:eastAsia="宋体" w:cs="宋体"/>
                <w:sz w:val="21"/>
                <w:szCs w:val="21"/>
              </w:rPr>
            </w:pPr>
            <w:r>
              <w:rPr>
                <w:rFonts w:hint="eastAsia" w:ascii="宋体" w:hAnsi="宋体" w:eastAsia="宋体" w:cs="宋体"/>
                <w:sz w:val="21"/>
                <w:szCs w:val="21"/>
              </w:rPr>
              <w:t>2、有推广课程至国际慕课平台的能力，每推送一门课程得</w:t>
            </w:r>
            <w:r>
              <w:rPr>
                <w:rFonts w:ascii="宋体" w:hAnsi="宋体" w:eastAsia="宋体" w:cs="宋体"/>
                <w:sz w:val="21"/>
                <w:szCs w:val="21"/>
              </w:rPr>
              <w:t>1</w:t>
            </w:r>
            <w:r>
              <w:rPr>
                <w:rFonts w:hint="eastAsia" w:ascii="宋体" w:hAnsi="宋体" w:eastAsia="宋体" w:cs="宋体"/>
                <w:sz w:val="21"/>
                <w:szCs w:val="21"/>
              </w:rPr>
              <w:t>分，最多得</w:t>
            </w:r>
            <w:r>
              <w:rPr>
                <w:rFonts w:ascii="宋体" w:hAnsi="宋体" w:eastAsia="宋体" w:cs="宋体"/>
                <w:sz w:val="21"/>
                <w:szCs w:val="21"/>
              </w:rPr>
              <w:t>3</w:t>
            </w:r>
            <w:r>
              <w:rPr>
                <w:rFonts w:hint="eastAsia" w:ascii="宋体" w:hAnsi="宋体" w:eastAsia="宋体" w:cs="宋体"/>
                <w:sz w:val="21"/>
                <w:szCs w:val="21"/>
              </w:rPr>
              <w:t>分，需提供相关证明文件。</w:t>
            </w:r>
          </w:p>
          <w:p>
            <w:pPr>
              <w:rPr>
                <w:rFonts w:ascii="宋体" w:hAnsi="宋体" w:eastAsia="宋体" w:cs="宋体"/>
                <w:sz w:val="21"/>
                <w:szCs w:val="21"/>
              </w:rPr>
            </w:pPr>
          </w:p>
          <w:p>
            <w:pPr>
              <w:rPr>
                <w:rFonts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投标人提供以往制作</w:t>
            </w:r>
            <w:r>
              <w:rPr>
                <w:rFonts w:hint="eastAsia" w:ascii="宋体" w:hAnsi="宋体" w:eastAsia="宋体" w:cs="宋体"/>
                <w:sz w:val="21"/>
                <w:szCs w:val="21"/>
                <w:lang w:eastAsia="zh-CN"/>
              </w:rPr>
              <w:t>同类</w:t>
            </w:r>
            <w:r>
              <w:rPr>
                <w:rFonts w:hint="eastAsia" w:ascii="宋体" w:hAnsi="宋体" w:eastAsia="宋体" w:cs="宋体"/>
                <w:sz w:val="21"/>
                <w:szCs w:val="21"/>
              </w:rPr>
              <w:t>项目的3门在线开放课程，课程制作完成后须经过教育部在线教育研究中心课程委员会审核，并提供已获得教育部在线教育研究中心颁发的慕课上线证书的课程制作案例，需提供合同和教育部在线教育研究中心颁发的上线证书文件；提供一项得</w:t>
            </w:r>
            <w:r>
              <w:rPr>
                <w:rFonts w:ascii="宋体" w:hAnsi="宋体" w:eastAsia="宋体" w:cs="宋体"/>
                <w:sz w:val="21"/>
                <w:szCs w:val="21"/>
              </w:rPr>
              <w:t>1</w:t>
            </w:r>
            <w:r>
              <w:rPr>
                <w:rFonts w:hint="eastAsia" w:ascii="宋体" w:hAnsi="宋体" w:eastAsia="宋体" w:cs="宋体"/>
                <w:sz w:val="21"/>
                <w:szCs w:val="21"/>
              </w:rPr>
              <w:t>分，最多得</w:t>
            </w:r>
            <w:r>
              <w:rPr>
                <w:rFonts w:ascii="宋体" w:hAnsi="宋体" w:eastAsia="宋体" w:cs="宋体"/>
                <w:sz w:val="21"/>
                <w:szCs w:val="21"/>
              </w:rPr>
              <w:t>3</w:t>
            </w:r>
            <w:r>
              <w:rPr>
                <w:rFonts w:hint="eastAsia" w:ascii="宋体" w:hAnsi="宋体" w:eastAsia="宋体" w:cs="宋体"/>
                <w:sz w:val="21"/>
                <w:szCs w:val="21"/>
              </w:rPr>
              <w:t>分。缺少合同和上线证明任意一项不得分。</w:t>
            </w:r>
          </w:p>
        </w:tc>
        <w:tc>
          <w:tcPr>
            <w:tcW w:w="1495" w:type="dxa"/>
            <w:vAlign w:val="center"/>
          </w:tcPr>
          <w:p>
            <w:pPr>
              <w:jc w:val="center"/>
              <w:rPr>
                <w:rFonts w:ascii="宋体" w:hAnsi="宋体" w:eastAsia="宋体" w:cs="宋体"/>
                <w:color w:val="000000"/>
                <w:sz w:val="21"/>
                <w:szCs w:val="21"/>
              </w:rPr>
            </w:pPr>
            <w:r>
              <w:rPr>
                <w:rFonts w:ascii="宋体" w:hAnsi="宋体" w:eastAsia="宋体" w:cs="宋体"/>
                <w:color w:val="00000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1247" w:type="dxa"/>
            <w:vAlign w:val="center"/>
          </w:tcPr>
          <w:p>
            <w:pPr>
              <w:jc w:val="center"/>
              <w:rPr>
                <w:rFonts w:ascii="宋体" w:hAnsi="宋体" w:eastAsia="宋体" w:cs="宋体"/>
                <w:sz w:val="21"/>
                <w:szCs w:val="21"/>
              </w:rPr>
            </w:pPr>
            <w:r>
              <w:rPr>
                <w:rFonts w:hint="eastAsia" w:ascii="宋体" w:hAnsi="宋体" w:eastAsia="宋体" w:cs="宋体"/>
                <w:sz w:val="21"/>
                <w:szCs w:val="21"/>
              </w:rPr>
              <w:t>在线课程制作方案</w:t>
            </w:r>
          </w:p>
        </w:tc>
        <w:tc>
          <w:tcPr>
            <w:tcW w:w="4637" w:type="dxa"/>
            <w:vAlign w:val="center"/>
          </w:tcPr>
          <w:p>
            <w:pPr>
              <w:rPr>
                <w:rFonts w:ascii="宋体" w:hAnsi="宋体" w:eastAsia="宋体" w:cs="宋体"/>
                <w:sz w:val="21"/>
                <w:szCs w:val="21"/>
              </w:rPr>
            </w:pPr>
            <w:r>
              <w:rPr>
                <w:rFonts w:hint="eastAsia" w:ascii="宋体" w:hAnsi="宋体" w:eastAsia="宋体" w:cs="宋体"/>
                <w:sz w:val="21"/>
                <w:szCs w:val="21"/>
              </w:rPr>
              <w:t xml:space="preserve">根据供应商对在线课程制作方案（包括但不限于课程知识技能体系架构设计、课程脚本的把握程度、课程制作方案等进行评价: </w:t>
            </w:r>
          </w:p>
          <w:p>
            <w:pPr>
              <w:rPr>
                <w:rFonts w:ascii="宋体" w:hAnsi="宋体" w:eastAsia="宋体" w:cs="宋体"/>
                <w:sz w:val="21"/>
                <w:szCs w:val="21"/>
              </w:rPr>
            </w:pPr>
            <w:r>
              <w:rPr>
                <w:rFonts w:hint="eastAsia" w:ascii="宋体" w:hAnsi="宋体" w:eastAsia="宋体" w:cs="宋体"/>
                <w:sz w:val="21"/>
                <w:szCs w:val="21"/>
              </w:rPr>
              <w:t>优：课程知识技能体系架构设计完善，课程脚本把握准确，课程制作方案详细合理的得</w:t>
            </w:r>
            <w:r>
              <w:rPr>
                <w:rFonts w:ascii="宋体" w:hAnsi="宋体" w:eastAsia="宋体" w:cs="宋体"/>
                <w:sz w:val="21"/>
                <w:szCs w:val="21"/>
              </w:rPr>
              <w:t>23</w:t>
            </w:r>
            <w:r>
              <w:rPr>
                <w:rFonts w:hint="eastAsia" w:ascii="宋体" w:hAnsi="宋体" w:eastAsia="宋体" w:cs="宋体"/>
                <w:sz w:val="21"/>
                <w:szCs w:val="21"/>
              </w:rPr>
              <w:t xml:space="preserve">分; </w:t>
            </w:r>
          </w:p>
          <w:p>
            <w:pPr>
              <w:rPr>
                <w:rFonts w:ascii="宋体" w:hAnsi="宋体" w:eastAsia="宋体" w:cs="宋体"/>
                <w:sz w:val="21"/>
                <w:szCs w:val="21"/>
              </w:rPr>
            </w:pPr>
            <w:r>
              <w:rPr>
                <w:rFonts w:hint="eastAsia" w:ascii="宋体" w:hAnsi="宋体" w:eastAsia="宋体" w:cs="宋体"/>
                <w:sz w:val="21"/>
                <w:szCs w:val="21"/>
              </w:rPr>
              <w:t>良：课程知识技能体系架构设计较为完善，课程脚本把握较为准确、课程制作方案较为详细合理的，得1</w:t>
            </w:r>
            <w:r>
              <w:rPr>
                <w:rFonts w:ascii="宋体" w:hAnsi="宋体" w:eastAsia="宋体" w:cs="宋体"/>
                <w:sz w:val="21"/>
                <w:szCs w:val="21"/>
              </w:rPr>
              <w:t>5</w:t>
            </w:r>
            <w:r>
              <w:rPr>
                <w:rFonts w:hint="eastAsia" w:ascii="宋体" w:hAnsi="宋体" w:eastAsia="宋体" w:cs="宋体"/>
                <w:sz w:val="21"/>
                <w:szCs w:val="21"/>
              </w:rPr>
              <w:t xml:space="preserve">分; </w:t>
            </w:r>
          </w:p>
          <w:p>
            <w:pPr>
              <w:rPr>
                <w:rFonts w:ascii="宋体" w:hAnsi="宋体" w:eastAsia="宋体" w:cs="宋体"/>
                <w:sz w:val="21"/>
                <w:szCs w:val="21"/>
              </w:rPr>
            </w:pPr>
            <w:r>
              <w:rPr>
                <w:rFonts w:hint="eastAsia" w:ascii="宋体" w:hAnsi="宋体" w:eastAsia="宋体" w:cs="宋体"/>
                <w:sz w:val="21"/>
                <w:szCs w:val="21"/>
              </w:rPr>
              <w:t>不提供不得分。</w:t>
            </w:r>
          </w:p>
        </w:tc>
        <w:tc>
          <w:tcPr>
            <w:tcW w:w="1495" w:type="dxa"/>
            <w:vAlign w:val="center"/>
          </w:tcPr>
          <w:p>
            <w:pPr>
              <w:jc w:val="center"/>
              <w:rPr>
                <w:rFonts w:ascii="宋体" w:hAnsi="宋体" w:eastAsia="宋体" w:cs="宋体"/>
                <w:color w:val="000000"/>
                <w:sz w:val="21"/>
                <w:szCs w:val="21"/>
              </w:rPr>
            </w:pPr>
            <w:r>
              <w:rPr>
                <w:rFonts w:ascii="宋体" w:hAnsi="宋体" w:eastAsia="宋体" w:cs="宋体"/>
                <w:color w:val="000000"/>
                <w:sz w:val="21"/>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083" w:type="dxa"/>
            <w:gridSpan w:val="4"/>
            <w:vAlign w:val="center"/>
          </w:tcPr>
          <w:p>
            <w:pPr>
              <w:jc w:val="center"/>
              <w:rPr>
                <w:rFonts w:ascii="宋体" w:hAnsi="宋体" w:eastAsia="宋体" w:cs="宋体"/>
                <w:color w:val="000000"/>
                <w:sz w:val="21"/>
                <w:szCs w:val="21"/>
              </w:rPr>
            </w:pPr>
            <w:r>
              <w:rPr>
                <w:rFonts w:hint="eastAsia" w:ascii="宋体" w:hAnsi="宋体" w:eastAsia="宋体" w:cs="宋体"/>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0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1247" w:type="dxa"/>
            <w:vAlign w:val="center"/>
          </w:tcPr>
          <w:p>
            <w:pPr>
              <w:jc w:val="center"/>
              <w:rPr>
                <w:rFonts w:ascii="宋体" w:hAnsi="宋体" w:eastAsia="宋体" w:cs="宋体"/>
                <w:sz w:val="21"/>
                <w:szCs w:val="21"/>
              </w:rPr>
            </w:pPr>
            <w:r>
              <w:rPr>
                <w:rFonts w:hint="eastAsia" w:ascii="宋体" w:hAnsi="宋体" w:eastAsia="宋体" w:cs="宋体"/>
                <w:sz w:val="21"/>
                <w:szCs w:val="21"/>
              </w:rPr>
              <w:t>课程运营情况</w:t>
            </w:r>
          </w:p>
        </w:tc>
        <w:tc>
          <w:tcPr>
            <w:tcW w:w="4637" w:type="dxa"/>
            <w:vAlign w:val="center"/>
          </w:tcPr>
          <w:p>
            <w:pPr>
              <w:rPr>
                <w:rFonts w:ascii="宋体" w:hAnsi="宋体" w:eastAsia="宋体" w:cs="宋体"/>
                <w:sz w:val="21"/>
                <w:szCs w:val="21"/>
              </w:rPr>
            </w:pPr>
            <w:r>
              <w:rPr>
                <w:rFonts w:hint="eastAsia" w:ascii="宋体" w:hAnsi="宋体" w:eastAsia="宋体" w:cs="宋体"/>
                <w:sz w:val="21"/>
                <w:szCs w:val="21"/>
              </w:rPr>
              <w:t>提供 3门已经上线运行课程的运行报告，要求运行报告的大数据分析至少包含课程参与学生人数，在线学习进度分析、学生学习行为分析、线下课程出席及表现情况、学生满意度，意见收集等信息，提供运行报告扫描件并加盖上线平台运行公司公章，每提供3个加1分，最多得9分。</w:t>
            </w:r>
          </w:p>
        </w:tc>
        <w:tc>
          <w:tcPr>
            <w:tcW w:w="1495" w:type="dxa"/>
            <w:vAlign w:val="center"/>
          </w:tcPr>
          <w:p>
            <w:pPr>
              <w:jc w:val="center"/>
              <w:rPr>
                <w:rFonts w:ascii="宋体" w:hAnsi="宋体" w:eastAsia="宋体" w:cs="宋体"/>
                <w:color w:val="000000"/>
                <w:sz w:val="21"/>
                <w:szCs w:val="21"/>
              </w:rPr>
            </w:pPr>
            <w:r>
              <w:rPr>
                <w:rFonts w:ascii="宋体" w:hAnsi="宋体" w:eastAsia="宋体" w:cs="宋体"/>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0" w:hRule="atLeast"/>
        </w:trPr>
        <w:tc>
          <w:tcPr>
            <w:tcW w:w="70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6</w:t>
            </w:r>
          </w:p>
        </w:tc>
        <w:tc>
          <w:tcPr>
            <w:tcW w:w="1247" w:type="dxa"/>
            <w:vAlign w:val="center"/>
          </w:tcPr>
          <w:p>
            <w:pPr>
              <w:jc w:val="center"/>
              <w:rPr>
                <w:rFonts w:ascii="宋体" w:hAnsi="宋体" w:eastAsia="宋体" w:cs="宋体"/>
                <w:sz w:val="21"/>
                <w:szCs w:val="21"/>
              </w:rPr>
            </w:pPr>
            <w:r>
              <w:rPr>
                <w:rFonts w:hint="eastAsia" w:ascii="宋体" w:hAnsi="宋体" w:eastAsia="宋体" w:cs="宋体"/>
                <w:sz w:val="21"/>
                <w:szCs w:val="21"/>
              </w:rPr>
              <w:t>售后服务方案</w:t>
            </w:r>
          </w:p>
        </w:tc>
        <w:tc>
          <w:tcPr>
            <w:tcW w:w="4637" w:type="dxa"/>
            <w:vAlign w:val="center"/>
          </w:tcPr>
          <w:p>
            <w:pPr>
              <w:rPr>
                <w:rFonts w:ascii="宋体" w:hAnsi="宋体" w:eastAsia="宋体" w:cs="宋体"/>
                <w:sz w:val="21"/>
                <w:szCs w:val="21"/>
              </w:rPr>
            </w:pPr>
            <w:r>
              <w:rPr>
                <w:rFonts w:hint="eastAsia" w:ascii="宋体" w:hAnsi="宋体" w:eastAsia="宋体" w:cs="宋体"/>
                <w:sz w:val="21"/>
                <w:szCs w:val="21"/>
              </w:rPr>
              <w:t>根据供应商的售后服务方案（包括但不限于服务响应及时性、技术与操作培训方案、质保期限、维护方案及计划等）进行评价：</w:t>
            </w:r>
          </w:p>
          <w:p>
            <w:pPr>
              <w:rPr>
                <w:rFonts w:ascii="宋体" w:hAnsi="宋体" w:eastAsia="宋体" w:cs="宋体"/>
                <w:sz w:val="21"/>
                <w:szCs w:val="21"/>
              </w:rPr>
            </w:pPr>
            <w:r>
              <w:rPr>
                <w:rFonts w:hint="eastAsia" w:ascii="宋体" w:hAnsi="宋体" w:eastAsia="宋体" w:cs="宋体"/>
                <w:sz w:val="21"/>
                <w:szCs w:val="21"/>
              </w:rPr>
              <w:t>优：方案详细、合理，流程清晰、可行性高，得</w:t>
            </w:r>
            <w:r>
              <w:rPr>
                <w:rFonts w:ascii="宋体" w:hAnsi="宋体" w:eastAsia="宋体" w:cs="宋体"/>
                <w:sz w:val="21"/>
                <w:szCs w:val="21"/>
              </w:rPr>
              <w:t>21</w:t>
            </w:r>
            <w:r>
              <w:rPr>
                <w:rFonts w:hint="eastAsia" w:ascii="宋体" w:hAnsi="宋体" w:eastAsia="宋体" w:cs="宋体"/>
                <w:sz w:val="21"/>
                <w:szCs w:val="21"/>
              </w:rPr>
              <w:t xml:space="preserve">分; </w:t>
            </w:r>
          </w:p>
          <w:p>
            <w:pPr>
              <w:rPr>
                <w:rFonts w:ascii="宋体" w:hAnsi="宋体" w:eastAsia="宋体" w:cs="宋体"/>
                <w:sz w:val="21"/>
                <w:szCs w:val="21"/>
              </w:rPr>
            </w:pPr>
            <w:r>
              <w:rPr>
                <w:rFonts w:hint="eastAsia" w:ascii="宋体" w:hAnsi="宋体" w:eastAsia="宋体" w:cs="宋体"/>
                <w:sz w:val="21"/>
                <w:szCs w:val="21"/>
              </w:rPr>
              <w:t>良：方案较详细、合理， 流程较清晰、可行性较高，得</w:t>
            </w:r>
            <w:r>
              <w:rPr>
                <w:rFonts w:ascii="宋体" w:hAnsi="宋体" w:eastAsia="宋体" w:cs="宋体"/>
                <w:sz w:val="21"/>
                <w:szCs w:val="21"/>
              </w:rPr>
              <w:t>15</w:t>
            </w:r>
            <w:r>
              <w:rPr>
                <w:rFonts w:hint="eastAsia" w:ascii="宋体" w:hAnsi="宋体" w:eastAsia="宋体" w:cs="宋体"/>
                <w:sz w:val="21"/>
                <w:szCs w:val="21"/>
              </w:rPr>
              <w:t xml:space="preserve">分; </w:t>
            </w:r>
          </w:p>
          <w:p>
            <w:pPr>
              <w:rPr>
                <w:rFonts w:ascii="宋体" w:hAnsi="宋体" w:eastAsia="宋体" w:cs="宋体"/>
                <w:sz w:val="21"/>
                <w:szCs w:val="21"/>
              </w:rPr>
            </w:pPr>
            <w:r>
              <w:rPr>
                <w:rFonts w:hint="eastAsia" w:ascii="宋体" w:hAnsi="宋体" w:eastAsia="宋体" w:cs="宋体"/>
                <w:sz w:val="21"/>
                <w:szCs w:val="21"/>
              </w:rPr>
              <w:t>差：方案基本合理，流程基本可行，得</w:t>
            </w:r>
            <w:r>
              <w:rPr>
                <w:rFonts w:ascii="宋体" w:hAnsi="宋体" w:eastAsia="宋体" w:cs="宋体"/>
                <w:sz w:val="21"/>
                <w:szCs w:val="21"/>
              </w:rPr>
              <w:t>10</w:t>
            </w:r>
            <w:r>
              <w:rPr>
                <w:rFonts w:hint="eastAsia" w:ascii="宋体" w:hAnsi="宋体" w:eastAsia="宋体" w:cs="宋体"/>
                <w:sz w:val="21"/>
                <w:szCs w:val="21"/>
              </w:rPr>
              <w:t>分;</w:t>
            </w:r>
          </w:p>
          <w:p>
            <w:pPr>
              <w:rPr>
                <w:rFonts w:ascii="宋体" w:hAnsi="宋体" w:eastAsia="宋体" w:cs="宋体"/>
                <w:sz w:val="21"/>
                <w:szCs w:val="21"/>
              </w:rPr>
            </w:pPr>
            <w:r>
              <w:rPr>
                <w:rFonts w:hint="eastAsia" w:ascii="宋体" w:hAnsi="宋体" w:eastAsia="宋体" w:cs="宋体"/>
                <w:sz w:val="21"/>
                <w:szCs w:val="21"/>
              </w:rPr>
              <w:t>不提供方案不得分。</w:t>
            </w:r>
          </w:p>
        </w:tc>
        <w:tc>
          <w:tcPr>
            <w:tcW w:w="1495"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2</w:t>
            </w:r>
            <w:r>
              <w:rPr>
                <w:rFonts w:ascii="宋体" w:hAnsi="宋体" w:eastAsia="宋体" w:cs="宋体"/>
                <w:color w:val="000000"/>
                <w:sz w:val="21"/>
                <w:szCs w:val="21"/>
              </w:rPr>
              <w:t>1</w:t>
            </w:r>
          </w:p>
        </w:tc>
      </w:tr>
    </w:tbl>
    <w:p>
      <w:pPr>
        <w:pStyle w:val="19"/>
        <w:tabs>
          <w:tab w:val="left" w:pos="-166"/>
        </w:tabs>
        <w:kinsoku w:val="0"/>
        <w:wordWrap w:val="0"/>
        <w:topLinePunct/>
        <w:ind w:left="498" w:leftChars="150" w:firstLine="440" w:firstLineChars="190"/>
        <w:rPr>
          <w:rFonts w:ascii="宋体" w:eastAsia="宋体"/>
          <w:sz w:val="18"/>
        </w:rPr>
      </w:pP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六、开标、评标、定标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8"/>
        </w:numPr>
        <w:tabs>
          <w:tab w:val="left" w:pos="0"/>
          <w:tab w:val="clear" w:pos="425"/>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rPr>
          <w:rFonts w:ascii="宋体" w:hAnsi="Arial Narrow" w:eastAsia="宋体"/>
          <w:b/>
          <w:sz w:val="32"/>
        </w:rPr>
      </w:pPr>
      <w:r>
        <w:rPr>
          <w:rFonts w:hint="eastAsia" w:ascii="宋体" w:hAnsi="Arial Narrow" w:eastAsia="宋体"/>
          <w:b/>
          <w:sz w:val="32"/>
        </w:rPr>
        <w:t>第二部分  技术服务内容、技术指标要求等</w:t>
      </w:r>
    </w:p>
    <w:p>
      <w:pPr>
        <w:kinsoku w:val="0"/>
        <w:topLinePunct/>
        <w:rPr>
          <w:rFonts w:ascii="宋体" w:hAnsi="Arial Narrow" w:eastAsia="宋体"/>
          <w:b/>
          <w:sz w:val="32"/>
        </w:rPr>
      </w:pPr>
      <w:r>
        <w:rPr>
          <w:rFonts w:hint="eastAsia" w:ascii="宋体" w:hAnsi="Arial Narrow" w:eastAsia="宋体"/>
          <w:b/>
          <w:sz w:val="32"/>
        </w:rPr>
        <w:t xml:space="preserve"> 预算：</w:t>
      </w:r>
      <w:r>
        <w:rPr>
          <w:rFonts w:ascii="宋体" w:hAnsi="Arial Narrow" w:eastAsia="宋体"/>
          <w:b/>
          <w:sz w:val="32"/>
        </w:rPr>
        <w:t>13</w:t>
      </w:r>
      <w:r>
        <w:rPr>
          <w:rFonts w:hint="eastAsia" w:ascii="宋体" w:hAnsi="Arial Narrow" w:eastAsia="宋体"/>
          <w:b/>
          <w:sz w:val="32"/>
        </w:rPr>
        <w:t>0000元</w:t>
      </w:r>
    </w:p>
    <w:p>
      <w:pPr>
        <w:rPr>
          <w:rFonts w:ascii="宋体" w:hAnsi="宋体" w:cs="宋体"/>
          <w:szCs w:val="21"/>
        </w:rPr>
      </w:pPr>
      <w:r>
        <w:rPr>
          <w:rFonts w:hint="eastAsia"/>
          <w:szCs w:val="28"/>
        </w:rPr>
        <w:t xml:space="preserve">  </w:t>
      </w:r>
      <w:r>
        <w:rPr>
          <w:rFonts w:hint="eastAsia" w:ascii="宋体" w:hAnsi="宋体" w:cs="宋体"/>
          <w:szCs w:val="21"/>
        </w:rPr>
        <w:t>在线课程建设采购技术指标</w:t>
      </w:r>
    </w:p>
    <w:p>
      <w:pPr>
        <w:ind w:left="438" w:leftChars="132"/>
        <w:rPr>
          <w:szCs w:val="28"/>
        </w:rPr>
      </w:pPr>
      <w:r>
        <w:rPr>
          <w:rFonts w:hint="eastAsia"/>
          <w:szCs w:val="28"/>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203"/>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pPr>
              <w:pStyle w:val="10"/>
              <w:spacing w:after="0"/>
              <w:jc w:val="center"/>
              <w:rPr>
                <w:rFonts w:ascii="宋体" w:hAnsi="宋体" w:eastAsia="宋体" w:cs="宋体"/>
                <w:b/>
                <w:sz w:val="21"/>
                <w:szCs w:val="21"/>
              </w:rPr>
            </w:pPr>
            <w:r>
              <w:rPr>
                <w:rFonts w:hint="eastAsia" w:ascii="宋体" w:hAnsi="宋体" w:eastAsia="宋体" w:cs="宋体"/>
                <w:b/>
                <w:sz w:val="21"/>
                <w:szCs w:val="21"/>
              </w:rPr>
              <w:t>序号</w:t>
            </w:r>
          </w:p>
        </w:tc>
        <w:tc>
          <w:tcPr>
            <w:tcW w:w="1203" w:type="dxa"/>
            <w:vAlign w:val="center"/>
          </w:tcPr>
          <w:p>
            <w:pPr>
              <w:pStyle w:val="10"/>
              <w:spacing w:after="0"/>
              <w:jc w:val="center"/>
              <w:rPr>
                <w:rFonts w:ascii="宋体" w:hAnsi="宋体" w:eastAsia="宋体" w:cs="宋体"/>
                <w:b/>
                <w:sz w:val="21"/>
                <w:szCs w:val="21"/>
              </w:rPr>
            </w:pPr>
            <w:r>
              <w:rPr>
                <w:rFonts w:hint="eastAsia" w:ascii="宋体" w:hAnsi="宋体" w:eastAsia="宋体" w:cs="宋体"/>
                <w:b/>
                <w:sz w:val="21"/>
                <w:szCs w:val="21"/>
              </w:rPr>
              <w:t>设备名称</w:t>
            </w:r>
          </w:p>
        </w:tc>
        <w:tc>
          <w:tcPr>
            <w:tcW w:w="6300" w:type="dxa"/>
            <w:vAlign w:val="center"/>
          </w:tcPr>
          <w:p>
            <w:pPr>
              <w:pStyle w:val="10"/>
              <w:spacing w:after="0"/>
              <w:jc w:val="center"/>
              <w:rPr>
                <w:rFonts w:ascii="宋体" w:hAnsi="宋体" w:eastAsia="宋体" w:cs="宋体"/>
                <w:b/>
                <w:sz w:val="21"/>
                <w:szCs w:val="21"/>
              </w:rPr>
            </w:pPr>
            <w:r>
              <w:rPr>
                <w:rFonts w:hint="eastAsia" w:ascii="宋体" w:hAnsi="宋体" w:eastAsia="宋体" w:cs="宋体"/>
                <w:b/>
                <w:sz w:val="21"/>
                <w:szCs w:val="21"/>
              </w:rPr>
              <w:t>技术要求和说明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pPr>
              <w:widowControl/>
              <w:jc w:val="center"/>
              <w:rPr>
                <w:rFonts w:ascii="宋体" w:hAnsi="宋体" w:eastAsia="宋体" w:cs="宋体"/>
                <w:sz w:val="21"/>
                <w:szCs w:val="21"/>
              </w:rPr>
            </w:pPr>
            <w:r>
              <w:rPr>
                <w:rFonts w:hint="eastAsia" w:ascii="宋体" w:hAnsi="宋体" w:eastAsia="宋体" w:cs="宋体"/>
                <w:sz w:val="21"/>
                <w:szCs w:val="21"/>
              </w:rPr>
              <w:t>1</w:t>
            </w:r>
          </w:p>
        </w:tc>
        <w:tc>
          <w:tcPr>
            <w:tcW w:w="1203" w:type="dxa"/>
            <w:vAlign w:val="center"/>
          </w:tcPr>
          <w:p>
            <w:pPr>
              <w:jc w:val="center"/>
              <w:rPr>
                <w:rFonts w:ascii="宋体" w:hAnsi="宋体" w:eastAsia="宋体" w:cs="宋体"/>
                <w:sz w:val="21"/>
                <w:szCs w:val="21"/>
              </w:rPr>
            </w:pPr>
            <w:r>
              <w:rPr>
                <w:rFonts w:hint="eastAsia" w:ascii="宋体" w:hAnsi="宋体" w:eastAsia="宋体" w:cs="宋体"/>
                <w:sz w:val="21"/>
                <w:szCs w:val="21"/>
              </w:rPr>
              <w:t>在线开放课程建设</w:t>
            </w:r>
          </w:p>
        </w:tc>
        <w:tc>
          <w:tcPr>
            <w:tcW w:w="6300" w:type="dxa"/>
            <w:vAlign w:val="center"/>
          </w:tcPr>
          <w:p>
            <w:pPr>
              <w:rPr>
                <w:rFonts w:ascii="宋体" w:hAnsi="宋体" w:eastAsia="宋体" w:cs="宋体"/>
                <w:color w:val="000000"/>
                <w:kern w:val="0"/>
                <w:sz w:val="21"/>
                <w:szCs w:val="21"/>
              </w:rPr>
            </w:pPr>
            <w:r>
              <w:rPr>
                <w:rFonts w:hint="eastAsia" w:ascii="宋体" w:hAnsi="宋体" w:eastAsia="宋体" w:cs="宋体"/>
                <w:color w:val="000000"/>
                <w:kern w:val="0"/>
                <w:sz w:val="21"/>
                <w:szCs w:val="21"/>
              </w:rPr>
              <w:t>技术参数及要求：</w:t>
            </w:r>
          </w:p>
          <w:p>
            <w:pPr>
              <w:ind w:firstLine="524"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本项目主要包含五个方面：前期准备、中期拍摄、后期制作、售后附加服务、课程运行（包括课程上线服务、课程运营服务及精品课程申报服务），具体要求如下：</w:t>
            </w:r>
          </w:p>
          <w:p>
            <w:pPr>
              <w:pStyle w:val="101"/>
              <w:adjustRightInd/>
              <w:rPr>
                <w:rFonts w:ascii="宋体" w:hAnsi="宋体" w:cs="宋体"/>
                <w:sz w:val="21"/>
                <w:szCs w:val="21"/>
              </w:rPr>
            </w:pPr>
            <w:r>
              <w:rPr>
                <w:rFonts w:hint="eastAsia" w:ascii="宋体" w:hAnsi="宋体" w:cs="宋体"/>
                <w:sz w:val="21"/>
                <w:szCs w:val="21"/>
              </w:rPr>
              <w:t>（一）.课程制作内容及相关技术要求</w:t>
            </w:r>
          </w:p>
          <w:p>
            <w:pPr>
              <w:pStyle w:val="101"/>
              <w:adjustRightInd/>
              <w:ind w:firstLine="524" w:firstLineChars="200"/>
              <w:rPr>
                <w:rFonts w:ascii="宋体" w:hAnsi="宋体" w:cs="宋体"/>
                <w:sz w:val="21"/>
                <w:szCs w:val="21"/>
              </w:rPr>
            </w:pPr>
            <w:r>
              <w:rPr>
                <w:rFonts w:hint="eastAsia" w:ascii="宋体" w:hAnsi="宋体" w:cs="宋体"/>
                <w:sz w:val="21"/>
                <w:szCs w:val="21"/>
              </w:rPr>
              <w:t>1.电子教案：要求以知识点为单位，提供教师讲稿或者与讲课配套的黑板板书内容(或者投影内容)。</w:t>
            </w:r>
          </w:p>
          <w:p>
            <w:pPr>
              <w:pStyle w:val="101"/>
              <w:adjustRightInd/>
              <w:ind w:firstLine="524" w:firstLineChars="200"/>
              <w:rPr>
                <w:rFonts w:ascii="宋体" w:hAnsi="宋体" w:cs="宋体"/>
                <w:sz w:val="21"/>
                <w:szCs w:val="21"/>
              </w:rPr>
            </w:pPr>
            <w:r>
              <w:rPr>
                <w:rFonts w:hint="eastAsia" w:ascii="宋体" w:hAnsi="宋体" w:cs="宋体"/>
                <w:sz w:val="21"/>
                <w:szCs w:val="21"/>
              </w:rPr>
              <w:t>2.授课内容：授课内容是指教师讲授课程的媒体形态，以授课视频为主，还包括PPT+授课录音，PPT+录音等形式。支持通用流媒体视频格式，视频支持AVI、FLV、mov、mp4等主流高清格式。</w:t>
            </w:r>
          </w:p>
          <w:p>
            <w:pPr>
              <w:pStyle w:val="101"/>
              <w:adjustRightInd/>
              <w:ind w:firstLine="524" w:firstLineChars="200"/>
              <w:rPr>
                <w:rFonts w:ascii="宋体" w:hAnsi="宋体" w:cs="宋体"/>
                <w:sz w:val="21"/>
                <w:szCs w:val="21"/>
              </w:rPr>
            </w:pPr>
            <w:r>
              <w:rPr>
                <w:rFonts w:hint="eastAsia" w:ascii="宋体" w:hAnsi="宋体" w:cs="宋体"/>
                <w:sz w:val="21"/>
                <w:szCs w:val="21"/>
              </w:rPr>
              <w:t>3.考核办法：课程应提供明确的考核办法，分为知识单元考核与课程整体考核两种。</w:t>
            </w:r>
          </w:p>
          <w:p>
            <w:pPr>
              <w:pStyle w:val="101"/>
              <w:adjustRightInd/>
              <w:ind w:firstLine="524" w:firstLineChars="200"/>
              <w:rPr>
                <w:rFonts w:ascii="宋体" w:hAnsi="宋体" w:cs="宋体"/>
                <w:sz w:val="21"/>
                <w:szCs w:val="21"/>
              </w:rPr>
            </w:pPr>
            <w:r>
              <w:rPr>
                <w:rFonts w:hint="eastAsia" w:ascii="宋体" w:hAnsi="宋体" w:cs="宋体"/>
                <w:sz w:val="21"/>
                <w:szCs w:val="21"/>
              </w:rPr>
              <w:t>4.教学课件：以课时为单位，提供教师用于课堂讲授的完整多媒体课件。一门课程可以提供多位教师的教学课件供学习者自主选择学习。</w:t>
            </w:r>
          </w:p>
          <w:p>
            <w:pPr>
              <w:pStyle w:val="101"/>
              <w:adjustRightInd/>
              <w:ind w:firstLine="524" w:firstLineChars="200"/>
              <w:rPr>
                <w:rFonts w:ascii="宋体" w:hAnsi="宋体" w:cs="宋体"/>
                <w:sz w:val="21"/>
                <w:szCs w:val="21"/>
              </w:rPr>
            </w:pPr>
            <w:r>
              <w:rPr>
                <w:rFonts w:hint="eastAsia" w:ascii="宋体" w:hAnsi="宋体" w:cs="宋体"/>
                <w:sz w:val="21"/>
                <w:szCs w:val="21"/>
              </w:rPr>
              <w:t>5.教学视频：教学视频拍摄与制作、发布。</w:t>
            </w:r>
          </w:p>
          <w:p>
            <w:pPr>
              <w:pStyle w:val="101"/>
              <w:adjustRightInd/>
              <w:ind w:firstLine="524" w:firstLineChars="200"/>
              <w:rPr>
                <w:rFonts w:ascii="宋体" w:hAnsi="宋体" w:cs="宋体"/>
                <w:sz w:val="21"/>
                <w:szCs w:val="21"/>
              </w:rPr>
            </w:pPr>
            <w:r>
              <w:rPr>
                <w:rFonts w:hint="eastAsia" w:ascii="宋体" w:hAnsi="宋体" w:cs="宋体"/>
                <w:sz w:val="21"/>
                <w:szCs w:val="21"/>
              </w:rPr>
              <w:t>6.拍摄要求：至少采用2机位拍摄,摄像机需为广播级高清设备，摄像机分辨率≥1920×1080，录制视频宽高比16:9，视频帧率为25帧/秒。</w:t>
            </w:r>
          </w:p>
          <w:p>
            <w:pPr>
              <w:pStyle w:val="101"/>
              <w:adjustRightInd/>
              <w:rPr>
                <w:rFonts w:ascii="宋体" w:hAnsi="宋体" w:cs="宋体"/>
                <w:sz w:val="21"/>
                <w:szCs w:val="21"/>
              </w:rPr>
            </w:pPr>
            <w:r>
              <w:rPr>
                <w:rFonts w:hint="eastAsia" w:ascii="宋体" w:hAnsi="宋体" w:cs="宋体"/>
                <w:sz w:val="21"/>
                <w:szCs w:val="21"/>
              </w:rPr>
              <w:t>（二）.后期制作要求：</w:t>
            </w:r>
          </w:p>
          <w:p>
            <w:pPr>
              <w:pStyle w:val="101"/>
              <w:adjustRightInd/>
              <w:ind w:firstLine="262" w:firstLineChars="100"/>
              <w:rPr>
                <w:rFonts w:ascii="宋体" w:hAnsi="宋体" w:cs="宋体"/>
                <w:sz w:val="21"/>
                <w:szCs w:val="21"/>
              </w:rPr>
            </w:pPr>
            <w:r>
              <w:rPr>
                <w:rFonts w:hint="eastAsia" w:ascii="宋体" w:hAnsi="宋体" w:cs="宋体"/>
                <w:sz w:val="21"/>
                <w:szCs w:val="21"/>
              </w:rPr>
              <w:t>1.片头与片尾，时长不超过10秒，包括:学校LOGO、课程名称、主讲教师姓名、职务、单位，教师所获荣誉等信息。</w:t>
            </w:r>
          </w:p>
          <w:p>
            <w:pPr>
              <w:pStyle w:val="101"/>
              <w:adjustRightInd/>
              <w:ind w:firstLine="262" w:firstLineChars="100"/>
              <w:rPr>
                <w:rFonts w:ascii="宋体" w:hAnsi="宋体" w:cs="宋体"/>
                <w:sz w:val="21"/>
                <w:szCs w:val="21"/>
              </w:rPr>
            </w:pPr>
            <w:r>
              <w:rPr>
                <w:rFonts w:hint="eastAsia" w:ascii="宋体" w:hAnsi="宋体" w:cs="宋体"/>
                <w:sz w:val="21"/>
                <w:szCs w:val="21"/>
              </w:rPr>
              <w:t>2.技术指标</w:t>
            </w:r>
          </w:p>
          <w:p>
            <w:pPr>
              <w:pStyle w:val="101"/>
              <w:adjustRightInd/>
              <w:ind w:firstLine="524" w:firstLineChars="200"/>
              <w:rPr>
                <w:rFonts w:ascii="宋体" w:hAnsi="宋体" w:cs="宋体"/>
                <w:sz w:val="21"/>
                <w:szCs w:val="21"/>
              </w:rPr>
            </w:pPr>
            <w:r>
              <w:rPr>
                <w:rFonts w:hint="eastAsia" w:ascii="宋体" w:hAnsi="宋体" w:cs="宋体"/>
                <w:sz w:val="21"/>
                <w:szCs w:val="21"/>
              </w:rPr>
              <w:t>(1)视频信号源：</w:t>
            </w:r>
          </w:p>
          <w:p>
            <w:pPr>
              <w:pStyle w:val="101"/>
              <w:adjustRightInd/>
              <w:ind w:firstLine="524" w:firstLineChars="200"/>
              <w:rPr>
                <w:rFonts w:ascii="宋体" w:hAnsi="宋体" w:cs="宋体"/>
                <w:sz w:val="21"/>
                <w:szCs w:val="21"/>
              </w:rPr>
            </w:pPr>
            <w:r>
              <w:rPr>
                <w:rFonts w:hint="eastAsia" w:ascii="宋体" w:hAnsi="宋体" w:cs="宋体"/>
                <w:sz w:val="21"/>
                <w:szCs w:val="21"/>
              </w:rPr>
              <w:t>①稳定性：图像同步性能稳定，CTL同步控制信号连续；图像无抖动跳跃，色彩无突变，编辑点处图像稳定。</w:t>
            </w:r>
          </w:p>
          <w:p>
            <w:pPr>
              <w:pStyle w:val="101"/>
              <w:adjustRightInd/>
              <w:ind w:firstLine="524" w:firstLineChars="200"/>
              <w:rPr>
                <w:rFonts w:ascii="宋体" w:hAnsi="宋体" w:cs="宋体"/>
                <w:sz w:val="21"/>
                <w:szCs w:val="21"/>
              </w:rPr>
            </w:pPr>
            <w:r>
              <w:rPr>
                <w:rFonts w:hint="eastAsia" w:ascii="宋体" w:hAnsi="宋体" w:cs="宋体"/>
                <w:sz w:val="21"/>
                <w:szCs w:val="21"/>
              </w:rPr>
              <w:t>②信噪比：图像信噪比不低于55dB，无明显杂波。</w:t>
            </w:r>
          </w:p>
          <w:p>
            <w:pPr>
              <w:pStyle w:val="101"/>
              <w:adjustRightInd/>
              <w:ind w:firstLine="524" w:firstLineChars="200"/>
              <w:rPr>
                <w:rFonts w:ascii="宋体" w:hAnsi="宋体" w:cs="宋体"/>
                <w:sz w:val="21"/>
                <w:szCs w:val="21"/>
              </w:rPr>
            </w:pPr>
            <w:r>
              <w:rPr>
                <w:rFonts w:hint="eastAsia" w:ascii="宋体" w:hAnsi="宋体" w:cs="宋体"/>
                <w:sz w:val="21"/>
                <w:szCs w:val="21"/>
              </w:rPr>
              <w:t>③色调：白平衡正确，无明显偏色，多机拍摄的镜头衔接处无明显色差。</w:t>
            </w:r>
          </w:p>
          <w:p>
            <w:pPr>
              <w:pStyle w:val="101"/>
              <w:adjustRightInd/>
              <w:ind w:firstLine="524" w:firstLineChars="200"/>
              <w:rPr>
                <w:rFonts w:ascii="宋体" w:hAnsi="宋体" w:cs="宋体"/>
                <w:sz w:val="21"/>
                <w:szCs w:val="21"/>
              </w:rPr>
            </w:pPr>
            <w:r>
              <w:rPr>
                <w:rFonts w:hint="eastAsia" w:ascii="宋体" w:hAnsi="宋体" w:cs="宋体"/>
                <w:sz w:val="21"/>
                <w:szCs w:val="21"/>
              </w:rPr>
              <w:t>④视频电平：视频全讯号幅度为1 Vp-p ，最大不超过1.1Ⅴp-p。其中，消隐电平为0V时，白电平幅度0.7Ⅴp-p，同步信号-0.3V，色同步信号幅度0.3Vp-p (以消隐线上下对称)，全篇一致。</w:t>
            </w:r>
          </w:p>
          <w:p>
            <w:pPr>
              <w:pStyle w:val="101"/>
              <w:adjustRightInd/>
              <w:ind w:firstLine="524" w:firstLineChars="200"/>
              <w:rPr>
                <w:rFonts w:ascii="宋体" w:hAnsi="宋体" w:cs="宋体"/>
                <w:sz w:val="21"/>
                <w:szCs w:val="21"/>
              </w:rPr>
            </w:pPr>
            <w:r>
              <w:rPr>
                <w:rFonts w:hint="eastAsia" w:ascii="宋体" w:hAnsi="宋体" w:cs="宋体"/>
                <w:sz w:val="21"/>
                <w:szCs w:val="21"/>
              </w:rPr>
              <w:t>(2)音频信号源：</w:t>
            </w:r>
          </w:p>
          <w:p>
            <w:pPr>
              <w:pStyle w:val="101"/>
              <w:adjustRightInd/>
              <w:rPr>
                <w:rFonts w:ascii="宋体" w:hAnsi="宋体" w:cs="宋体"/>
                <w:sz w:val="21"/>
                <w:szCs w:val="21"/>
              </w:rPr>
            </w:pPr>
            <w:r>
              <w:rPr>
                <w:rFonts w:hint="eastAsia" w:ascii="宋体" w:hAnsi="宋体" w:cs="宋体"/>
                <w:sz w:val="21"/>
                <w:szCs w:val="21"/>
              </w:rPr>
              <w:t xml:space="preserve">    ①声道：中文内容音频信号记录于第1声道，音乐、音效、同期声记录于第2声道，若有其他文字解说记录于第3声道（如录音设备无第3声道，则录于第2声道）。</w:t>
            </w:r>
          </w:p>
          <w:p>
            <w:pPr>
              <w:pStyle w:val="101"/>
              <w:adjustRightInd/>
              <w:rPr>
                <w:rFonts w:ascii="宋体" w:hAnsi="宋体" w:cs="宋体"/>
                <w:sz w:val="21"/>
                <w:szCs w:val="21"/>
              </w:rPr>
            </w:pPr>
            <w:r>
              <w:rPr>
                <w:rFonts w:hint="eastAsia" w:ascii="宋体" w:hAnsi="宋体" w:cs="宋体"/>
                <w:sz w:val="21"/>
                <w:szCs w:val="21"/>
              </w:rPr>
              <w:t xml:space="preserve">    ②电平指标：-2dB — -8dB声音应无明显失真、放音过冲、过弱。</w:t>
            </w:r>
          </w:p>
          <w:p>
            <w:pPr>
              <w:pStyle w:val="101"/>
              <w:adjustRightInd/>
              <w:rPr>
                <w:rFonts w:ascii="宋体" w:hAnsi="宋体" w:cs="宋体"/>
                <w:sz w:val="21"/>
                <w:szCs w:val="21"/>
              </w:rPr>
            </w:pPr>
            <w:r>
              <w:rPr>
                <w:rFonts w:hint="eastAsia" w:ascii="宋体" w:hAnsi="宋体" w:cs="宋体"/>
                <w:sz w:val="21"/>
                <w:szCs w:val="21"/>
              </w:rPr>
              <w:t xml:space="preserve">    ③音频信噪比不低于48dB。</w:t>
            </w:r>
          </w:p>
          <w:p>
            <w:pPr>
              <w:pStyle w:val="101"/>
              <w:adjustRightInd/>
              <w:rPr>
                <w:rFonts w:ascii="宋体" w:hAnsi="宋体" w:cs="宋体"/>
                <w:sz w:val="21"/>
                <w:szCs w:val="21"/>
              </w:rPr>
            </w:pPr>
            <w:r>
              <w:rPr>
                <w:rFonts w:hint="eastAsia" w:ascii="宋体" w:hAnsi="宋体" w:cs="宋体"/>
                <w:sz w:val="21"/>
                <w:szCs w:val="21"/>
              </w:rPr>
              <w:t xml:space="preserve">    ④声音和画面要求同步，无交流声或其他杂音等缺陷。</w:t>
            </w:r>
          </w:p>
          <w:p>
            <w:pPr>
              <w:pStyle w:val="101"/>
              <w:adjustRightInd/>
              <w:ind w:firstLine="432"/>
              <w:rPr>
                <w:rFonts w:ascii="宋体" w:hAnsi="宋体" w:cs="宋体"/>
                <w:sz w:val="21"/>
                <w:szCs w:val="21"/>
              </w:rPr>
            </w:pPr>
            <w:r>
              <w:rPr>
                <w:rFonts w:hint="eastAsia" w:ascii="宋体" w:hAnsi="宋体" w:cs="宋体"/>
                <w:sz w:val="21"/>
                <w:szCs w:val="21"/>
              </w:rPr>
              <w:t>⑤伴音清晰、饱满、圆润，无失真、噪声杂音干扰、音量忽大忽小现象。</w:t>
            </w:r>
          </w:p>
          <w:p>
            <w:pPr>
              <w:pStyle w:val="101"/>
              <w:adjustRightInd/>
              <w:ind w:firstLine="432"/>
              <w:rPr>
                <w:rFonts w:ascii="宋体" w:hAnsi="宋体" w:cs="宋体"/>
                <w:sz w:val="21"/>
                <w:szCs w:val="21"/>
              </w:rPr>
            </w:pPr>
            <w:r>
              <w:rPr>
                <w:rFonts w:hint="eastAsia" w:ascii="宋体" w:hAnsi="宋体" w:cs="宋体"/>
                <w:sz w:val="21"/>
                <w:szCs w:val="21"/>
              </w:rPr>
              <w:t>（3）视频发布要求：视频发布格式提倡采用流式媒体中的通用格式（以MP4为主）</w:t>
            </w:r>
          </w:p>
          <w:p>
            <w:pPr>
              <w:pStyle w:val="101"/>
              <w:adjustRightInd/>
              <w:rPr>
                <w:rFonts w:ascii="宋体" w:hAnsi="宋体" w:cs="宋体"/>
                <w:sz w:val="21"/>
                <w:szCs w:val="21"/>
              </w:rPr>
            </w:pPr>
            <w:r>
              <w:rPr>
                <w:rFonts w:hint="eastAsia" w:ascii="宋体" w:hAnsi="宋体" w:cs="宋体"/>
                <w:sz w:val="21"/>
                <w:szCs w:val="21"/>
              </w:rPr>
              <w:t>（三）.动画项目制作要求</w:t>
            </w:r>
          </w:p>
          <w:p>
            <w:pPr>
              <w:pStyle w:val="101"/>
              <w:adjustRightInd/>
              <w:rPr>
                <w:rFonts w:ascii="宋体" w:hAnsi="宋体" w:cs="宋体"/>
                <w:sz w:val="21"/>
                <w:szCs w:val="21"/>
              </w:rPr>
            </w:pPr>
            <w:r>
              <w:rPr>
                <w:rFonts w:hint="eastAsia" w:ascii="宋体" w:hAnsi="宋体" w:cs="宋体"/>
                <w:sz w:val="21"/>
                <w:szCs w:val="21"/>
              </w:rPr>
              <w:t xml:space="preserve">   1.制作基本流程</w:t>
            </w:r>
          </w:p>
          <w:p>
            <w:pPr>
              <w:pStyle w:val="101"/>
              <w:adjustRightInd/>
              <w:ind w:firstLine="524" w:firstLineChars="200"/>
              <w:rPr>
                <w:rFonts w:ascii="宋体" w:hAnsi="宋体" w:cs="宋体"/>
                <w:sz w:val="21"/>
                <w:szCs w:val="21"/>
              </w:rPr>
            </w:pPr>
            <w:r>
              <w:rPr>
                <w:rFonts w:hint="eastAsia" w:ascii="宋体" w:hAnsi="宋体" w:cs="宋体"/>
                <w:sz w:val="21"/>
                <w:szCs w:val="21"/>
              </w:rPr>
              <w:t>①前期制作：策划、剧本、资料的收集和整理、风格设计、角色造型设计、场景设计、分镜头脚本</w:t>
            </w:r>
          </w:p>
          <w:p>
            <w:pPr>
              <w:pStyle w:val="101"/>
              <w:adjustRightInd/>
              <w:ind w:firstLine="524" w:firstLineChars="200"/>
              <w:rPr>
                <w:rFonts w:ascii="宋体" w:hAnsi="宋体" w:cs="宋体"/>
                <w:sz w:val="21"/>
                <w:szCs w:val="21"/>
              </w:rPr>
            </w:pPr>
            <w:r>
              <w:rPr>
                <w:rFonts w:hint="eastAsia" w:ascii="宋体" w:hAnsi="宋体" w:cs="宋体"/>
                <w:sz w:val="21"/>
                <w:szCs w:val="21"/>
              </w:rPr>
              <w:t>②中期制作：设计稿、背景绘制、原画、加动画、动作检查</w:t>
            </w:r>
          </w:p>
          <w:p>
            <w:pPr>
              <w:pStyle w:val="101"/>
              <w:adjustRightInd/>
              <w:ind w:firstLine="524" w:firstLineChars="200"/>
              <w:rPr>
                <w:rFonts w:ascii="宋体" w:hAnsi="宋体" w:cs="宋体"/>
                <w:sz w:val="21"/>
                <w:szCs w:val="21"/>
              </w:rPr>
            </w:pPr>
            <w:r>
              <w:rPr>
                <w:rFonts w:hint="eastAsia" w:ascii="宋体" w:hAnsi="宋体" w:cs="宋体"/>
                <w:sz w:val="21"/>
                <w:szCs w:val="21"/>
              </w:rPr>
              <w:t>③后期制作：扫描、电脑描线、上色、合成、输出、剪辑、配音、影片输出。</w:t>
            </w:r>
          </w:p>
          <w:p>
            <w:pPr>
              <w:pStyle w:val="101"/>
              <w:adjustRightInd/>
              <w:rPr>
                <w:rFonts w:ascii="宋体" w:hAnsi="宋体" w:cs="宋体"/>
                <w:sz w:val="21"/>
                <w:szCs w:val="21"/>
              </w:rPr>
            </w:pPr>
            <w:r>
              <w:rPr>
                <w:rFonts w:hint="eastAsia" w:ascii="宋体" w:hAnsi="宋体" w:cs="宋体"/>
                <w:sz w:val="21"/>
                <w:szCs w:val="21"/>
              </w:rPr>
              <w:t xml:space="preserve">   2.二维技术标准</w:t>
            </w:r>
          </w:p>
          <w:p>
            <w:pPr>
              <w:pStyle w:val="101"/>
              <w:adjustRightInd/>
              <w:ind w:firstLine="524" w:firstLineChars="200"/>
              <w:rPr>
                <w:rFonts w:ascii="宋体" w:hAnsi="宋体" w:cs="宋体"/>
                <w:sz w:val="21"/>
                <w:szCs w:val="21"/>
              </w:rPr>
            </w:pPr>
            <w:r>
              <w:rPr>
                <w:rFonts w:hint="eastAsia" w:ascii="宋体" w:hAnsi="宋体" w:cs="宋体"/>
                <w:sz w:val="21"/>
                <w:szCs w:val="21"/>
              </w:rPr>
              <w:t>格式为SWF格式。FLASH导出版本为10.0以上，在导出时，音频流格式为mp3，16kps;音频事件格式为mp3，16kps。FLASH动画帧频为24帧，动画统一设定模板、颜色，标题大小为32 号字。交互动画要制定统一播放器，要有控制按钮进行操作，可控制音频声音，可任意调整播放进度。动画的框架可视内容而定，但层次结构原则上不应超过3层，静止时间不超过5秒。</w:t>
            </w:r>
          </w:p>
          <w:p>
            <w:pPr>
              <w:pStyle w:val="101"/>
              <w:adjustRightInd/>
              <w:rPr>
                <w:rFonts w:ascii="宋体" w:hAnsi="宋体" w:cs="宋体"/>
                <w:sz w:val="21"/>
                <w:szCs w:val="21"/>
              </w:rPr>
            </w:pPr>
            <w:r>
              <w:rPr>
                <w:rFonts w:hint="eastAsia" w:ascii="宋体" w:hAnsi="宋体" w:cs="宋体"/>
                <w:sz w:val="21"/>
                <w:szCs w:val="21"/>
              </w:rPr>
              <w:t>（四）.课程总览</w:t>
            </w:r>
          </w:p>
          <w:p>
            <w:pPr>
              <w:pStyle w:val="101"/>
              <w:adjustRightInd/>
              <w:ind w:firstLine="524" w:firstLineChars="200"/>
              <w:rPr>
                <w:rFonts w:ascii="宋体" w:hAnsi="宋体" w:cs="宋体"/>
                <w:sz w:val="21"/>
                <w:szCs w:val="21"/>
              </w:rPr>
            </w:pPr>
            <w:r>
              <w:rPr>
                <w:rFonts w:hint="eastAsia" w:ascii="宋体" w:hAnsi="宋体" w:cs="宋体"/>
                <w:sz w:val="21"/>
                <w:szCs w:val="21"/>
              </w:rPr>
              <w:t>课程总览中会自动统计本门课程详情，通过课程总览的监控，教师可以直观快速地了解课程的进展详情。包括学生数、访问数、讨论数的统计，任务进度、视频观看时长、学生活跃度等数据累计的可视化呈现。</w:t>
            </w:r>
          </w:p>
          <w:p>
            <w:pPr>
              <w:pStyle w:val="101"/>
              <w:adjustRightInd/>
              <w:ind w:firstLine="393" w:firstLineChars="150"/>
              <w:rPr>
                <w:rFonts w:ascii="宋体" w:hAnsi="宋体" w:cs="宋体"/>
                <w:sz w:val="21"/>
                <w:szCs w:val="21"/>
              </w:rPr>
            </w:pPr>
            <w:r>
              <w:rPr>
                <w:rFonts w:hint="eastAsia" w:ascii="宋体" w:hAnsi="宋体" w:cs="宋体"/>
                <w:sz w:val="21"/>
                <w:szCs w:val="21"/>
              </w:rPr>
              <w:t>1.课程详情</w:t>
            </w:r>
          </w:p>
          <w:p>
            <w:pPr>
              <w:pStyle w:val="101"/>
              <w:adjustRightInd/>
              <w:ind w:firstLine="524" w:firstLineChars="200"/>
              <w:rPr>
                <w:rFonts w:ascii="宋体" w:hAnsi="宋体" w:cs="宋体"/>
                <w:sz w:val="21"/>
                <w:szCs w:val="21"/>
              </w:rPr>
            </w:pPr>
            <w:r>
              <w:rPr>
                <w:rFonts w:hint="eastAsia" w:ascii="宋体" w:hAnsi="宋体" w:cs="宋体"/>
                <w:sz w:val="21"/>
                <w:szCs w:val="21"/>
              </w:rPr>
              <w:t>课程统计可以看到每天课程访问数的变化，并显示整门课程的课程资源分布统计。包括：学生总数、访问数、讨论数、任务点数、视频数、音频数、图书数、章节数以及作业数等等。</w:t>
            </w:r>
          </w:p>
          <w:p>
            <w:pPr>
              <w:pStyle w:val="101"/>
              <w:adjustRightInd/>
              <w:ind w:firstLine="393" w:firstLineChars="150"/>
              <w:rPr>
                <w:rFonts w:ascii="宋体" w:hAnsi="宋体" w:cs="宋体"/>
                <w:sz w:val="21"/>
                <w:szCs w:val="21"/>
              </w:rPr>
            </w:pPr>
            <w:r>
              <w:rPr>
                <w:rFonts w:hint="eastAsia" w:ascii="宋体" w:hAnsi="宋体" w:cs="宋体"/>
                <w:sz w:val="21"/>
                <w:szCs w:val="21"/>
              </w:rPr>
              <w:t>2.任务进度</w:t>
            </w:r>
          </w:p>
          <w:p>
            <w:pPr>
              <w:pStyle w:val="101"/>
              <w:adjustRightInd/>
              <w:ind w:firstLine="524" w:firstLineChars="200"/>
              <w:rPr>
                <w:rFonts w:ascii="宋体" w:hAnsi="宋体" w:cs="宋体"/>
                <w:sz w:val="21"/>
                <w:szCs w:val="21"/>
              </w:rPr>
            </w:pPr>
            <w:r>
              <w:rPr>
                <w:rFonts w:hint="eastAsia" w:ascii="宋体" w:hAnsi="宋体" w:cs="宋体"/>
                <w:sz w:val="21"/>
                <w:szCs w:val="21"/>
              </w:rPr>
              <w:t>总体学习进度的统计可以通过任务进度实现监控。包括全体学生学习的平均进度、最快进度、最慢进度，以及具体的数据显示。平均进度太慢的时候，老师可以通过发放通知来督促学生学习，注意把控学习进度。</w:t>
            </w:r>
          </w:p>
          <w:p>
            <w:pPr>
              <w:pStyle w:val="101"/>
              <w:adjustRightInd/>
              <w:ind w:firstLine="393" w:firstLineChars="150"/>
              <w:rPr>
                <w:rFonts w:ascii="宋体" w:hAnsi="宋体" w:cs="宋体"/>
                <w:sz w:val="21"/>
                <w:szCs w:val="21"/>
              </w:rPr>
            </w:pPr>
            <w:r>
              <w:rPr>
                <w:rFonts w:hint="eastAsia" w:ascii="宋体" w:hAnsi="宋体" w:cs="宋体"/>
                <w:sz w:val="21"/>
                <w:szCs w:val="21"/>
              </w:rPr>
              <w:t>3.视频观看时长</w:t>
            </w:r>
          </w:p>
          <w:p>
            <w:pPr>
              <w:pStyle w:val="101"/>
              <w:adjustRightInd/>
              <w:ind w:firstLine="524" w:firstLineChars="200"/>
              <w:rPr>
                <w:rFonts w:ascii="宋体" w:hAnsi="宋体" w:cs="宋体"/>
                <w:sz w:val="21"/>
                <w:szCs w:val="21"/>
              </w:rPr>
            </w:pPr>
            <w:r>
              <w:rPr>
                <w:rFonts w:hint="eastAsia" w:ascii="宋体" w:hAnsi="宋体" w:cs="宋体"/>
                <w:sz w:val="21"/>
                <w:szCs w:val="21"/>
              </w:rPr>
              <w:t>教学视频观看的总体时长也可以实现平均、最长、最短的监控。</w:t>
            </w:r>
          </w:p>
          <w:p>
            <w:pPr>
              <w:pStyle w:val="101"/>
              <w:adjustRightInd/>
              <w:ind w:firstLine="393" w:firstLineChars="150"/>
              <w:rPr>
                <w:rFonts w:ascii="宋体" w:hAnsi="宋体" w:cs="宋体"/>
                <w:sz w:val="21"/>
                <w:szCs w:val="21"/>
              </w:rPr>
            </w:pPr>
            <w:r>
              <w:rPr>
                <w:rFonts w:hint="eastAsia" w:ascii="宋体" w:hAnsi="宋体" w:cs="宋体"/>
                <w:sz w:val="21"/>
                <w:szCs w:val="21"/>
              </w:rPr>
              <w:t>4.学生活跃度</w:t>
            </w:r>
          </w:p>
          <w:p>
            <w:pPr>
              <w:pStyle w:val="101"/>
              <w:adjustRightInd/>
              <w:ind w:firstLine="524" w:firstLineChars="200"/>
              <w:rPr>
                <w:rFonts w:ascii="宋体" w:hAnsi="宋体" w:cs="宋体"/>
                <w:sz w:val="21"/>
                <w:szCs w:val="21"/>
              </w:rPr>
            </w:pPr>
            <w:r>
              <w:rPr>
                <w:rFonts w:hint="eastAsia" w:ascii="宋体" w:hAnsi="宋体" w:cs="宋体"/>
                <w:sz w:val="21"/>
                <w:szCs w:val="21"/>
              </w:rPr>
              <w:t>可以自动统计不同时期，不同时间段学生访问课程的数量，并通过折线图显示不同时间段、时期的活跃度变化及趋向。</w:t>
            </w:r>
          </w:p>
          <w:p>
            <w:pPr>
              <w:pStyle w:val="101"/>
              <w:adjustRightInd/>
              <w:ind w:firstLine="393" w:firstLineChars="150"/>
              <w:rPr>
                <w:rFonts w:ascii="宋体" w:hAnsi="宋体" w:cs="宋体"/>
                <w:sz w:val="21"/>
                <w:szCs w:val="21"/>
              </w:rPr>
            </w:pPr>
            <w:r>
              <w:rPr>
                <w:rFonts w:hint="eastAsia" w:ascii="宋体" w:hAnsi="宋体" w:cs="宋体"/>
                <w:sz w:val="21"/>
                <w:szCs w:val="21"/>
              </w:rPr>
              <w:t>5.成绩管理</w:t>
            </w:r>
          </w:p>
          <w:p>
            <w:pPr>
              <w:pStyle w:val="101"/>
              <w:adjustRightInd/>
              <w:ind w:firstLine="524" w:firstLineChars="200"/>
              <w:rPr>
                <w:rFonts w:ascii="宋体" w:hAnsi="宋体" w:cs="宋体"/>
                <w:sz w:val="21"/>
                <w:szCs w:val="21"/>
              </w:rPr>
            </w:pPr>
            <w:r>
              <w:rPr>
                <w:rFonts w:hint="eastAsia" w:ascii="宋体" w:hAnsi="宋体" w:cs="宋体"/>
                <w:sz w:val="21"/>
                <w:szCs w:val="21"/>
              </w:rPr>
              <w:t>(1）成绩管理中可以通过饼状图看到课程的成绩分布情况，在列表中则显示了每个学生的具体成绩组成，以及排名。</w:t>
            </w:r>
          </w:p>
          <w:p>
            <w:pPr>
              <w:pStyle w:val="101"/>
              <w:adjustRightInd/>
              <w:ind w:firstLine="524" w:firstLineChars="200"/>
              <w:rPr>
                <w:rFonts w:ascii="宋体" w:hAnsi="宋体" w:cs="宋体"/>
                <w:sz w:val="21"/>
                <w:szCs w:val="21"/>
              </w:rPr>
            </w:pPr>
            <w:r>
              <w:rPr>
                <w:rFonts w:hint="eastAsia" w:ascii="宋体" w:hAnsi="宋体" w:cs="宋体"/>
                <w:sz w:val="21"/>
                <w:szCs w:val="21"/>
              </w:rPr>
              <w:t>(2）课程数据统计功能支持柱图、五方图、社会网络分析、问答模式分析等维度统计功能。</w:t>
            </w:r>
          </w:p>
          <w:p>
            <w:pPr>
              <w:pStyle w:val="101"/>
              <w:adjustRightInd/>
              <w:ind w:firstLine="524" w:firstLineChars="200"/>
              <w:rPr>
                <w:rFonts w:ascii="宋体" w:hAnsi="宋体" w:cs="宋体"/>
                <w:sz w:val="21"/>
                <w:szCs w:val="21"/>
              </w:rPr>
            </w:pPr>
            <w:r>
              <w:rPr>
                <w:rFonts w:hint="eastAsia" w:ascii="宋体" w:hAnsi="宋体" w:cs="宋体"/>
                <w:sz w:val="21"/>
                <w:szCs w:val="21"/>
              </w:rPr>
              <w:t>(3）学习进度数据：按章节实现视频、讨论、习题多个维度的分析，其中习题实现答题人数占比、不同正确率人数的占比分析。</w:t>
            </w:r>
          </w:p>
          <w:p>
            <w:pPr>
              <w:pStyle w:val="101"/>
              <w:adjustRightInd/>
              <w:ind w:firstLine="524" w:firstLineChars="200"/>
              <w:rPr>
                <w:rFonts w:ascii="宋体" w:hAnsi="宋体" w:cs="宋体"/>
                <w:sz w:val="21"/>
                <w:szCs w:val="21"/>
              </w:rPr>
            </w:pPr>
            <w:r>
              <w:rPr>
                <w:rFonts w:hint="eastAsia" w:ascii="宋体" w:hAnsi="宋体" w:cs="宋体"/>
                <w:sz w:val="21"/>
                <w:szCs w:val="21"/>
              </w:rPr>
              <w:t>(4）互动模式分析：通过问答模式分析、社会网络分析了解整体发言趋势、学生之间的互动情况，提供总回帖数、总发帖数、零回复帖子数以及这些数据同昨日的环比分析，并通过图表展示。</w:t>
            </w:r>
          </w:p>
          <w:p>
            <w:pPr>
              <w:rPr>
                <w:rFonts w:ascii="宋体" w:hAnsi="宋体" w:eastAsia="宋体" w:cs="宋体"/>
                <w:color w:val="000000"/>
                <w:kern w:val="0"/>
                <w:sz w:val="21"/>
                <w:szCs w:val="21"/>
              </w:rPr>
            </w:pPr>
            <w:r>
              <w:rPr>
                <w:rFonts w:hint="eastAsia" w:ascii="宋体" w:hAnsi="宋体" w:eastAsia="宋体" w:cs="宋体"/>
                <w:color w:val="000000"/>
                <w:kern w:val="0"/>
                <w:sz w:val="21"/>
                <w:szCs w:val="21"/>
              </w:rPr>
              <w:t>(五).教学效果与影响</w:t>
            </w:r>
          </w:p>
          <w:p>
            <w:pPr>
              <w:pStyle w:val="101"/>
              <w:adjustRightInd/>
              <w:ind w:firstLine="524" w:firstLineChars="200"/>
              <w:rPr>
                <w:rFonts w:ascii="宋体" w:hAnsi="宋体" w:cs="宋体"/>
                <w:sz w:val="21"/>
                <w:szCs w:val="21"/>
              </w:rPr>
            </w:pPr>
            <w:r>
              <w:rPr>
                <w:rFonts w:hint="eastAsia" w:ascii="宋体" w:hAnsi="宋体" w:cs="宋体"/>
                <w:sz w:val="21"/>
                <w:szCs w:val="21"/>
              </w:rPr>
              <w:t>要注重对教学效果的跟踪评价并开展教学研究工作。基于大数据信息采集分析，全程记录和跟踪教师的教学和学生的学习过程、内容、反馈，全面跟踪和掌握每个学生的个性特点、学习行为，改进学校及教师的教学质量，促进因材施教。要求服务提供商提供投标截止时间前已完成并上线运营项目中的3门课程的运行报告，要求运行报告的大数据分析至少包含课程参与学生人数，在线学习进度分析、学生学习行为分析、线下课程出席及表现情况、学生满意度，意见收集等信息，提供运行报告的扫描件并加盖厂商公章。</w:t>
            </w:r>
          </w:p>
          <w:p>
            <w:pPr>
              <w:pStyle w:val="101"/>
              <w:adjustRightInd/>
              <w:rPr>
                <w:rFonts w:ascii="宋体" w:hAnsi="宋体" w:cs="宋体"/>
                <w:sz w:val="21"/>
                <w:szCs w:val="21"/>
              </w:rPr>
            </w:pPr>
            <w:r>
              <w:rPr>
                <w:rFonts w:hint="eastAsia" w:ascii="宋体" w:hAnsi="宋体" w:cs="宋体"/>
                <w:sz w:val="21"/>
                <w:szCs w:val="21"/>
              </w:rPr>
              <w:t>（六）.移动教学</w:t>
            </w:r>
          </w:p>
          <w:p>
            <w:pPr>
              <w:pStyle w:val="101"/>
              <w:adjustRightInd/>
              <w:ind w:firstLine="524" w:firstLineChars="200"/>
              <w:rPr>
                <w:rFonts w:ascii="宋体" w:hAnsi="宋体" w:cs="宋体"/>
                <w:sz w:val="21"/>
                <w:szCs w:val="21"/>
              </w:rPr>
            </w:pPr>
            <w:r>
              <w:rPr>
                <w:rFonts w:hint="eastAsia" w:ascii="宋体" w:hAnsi="宋体" w:cs="宋体"/>
                <w:sz w:val="21"/>
                <w:szCs w:val="21"/>
              </w:rPr>
              <w:t>1.基于微信、PPT学校现有办公软件，无需安装APP,实现翻转教学；</w:t>
            </w:r>
          </w:p>
          <w:p>
            <w:pPr>
              <w:pStyle w:val="101"/>
              <w:adjustRightInd/>
              <w:ind w:firstLine="524" w:firstLineChars="200"/>
              <w:rPr>
                <w:rFonts w:ascii="宋体" w:hAnsi="宋体" w:cs="宋体"/>
                <w:sz w:val="21"/>
                <w:szCs w:val="21"/>
              </w:rPr>
            </w:pPr>
            <w:r>
              <w:rPr>
                <w:rFonts w:hint="eastAsia" w:ascii="宋体" w:hAnsi="宋体" w:cs="宋体"/>
                <w:sz w:val="21"/>
                <w:szCs w:val="21"/>
              </w:rPr>
              <w:t>2.需支持IOS和Android两大主流操作系统，同时满足手机、平板电脑智能移动终端使用。</w:t>
            </w:r>
          </w:p>
          <w:p>
            <w:pPr>
              <w:pStyle w:val="101"/>
              <w:adjustRightInd/>
              <w:ind w:firstLine="524" w:firstLineChars="200"/>
              <w:rPr>
                <w:rFonts w:ascii="宋体" w:hAnsi="宋体" w:cs="宋体"/>
                <w:sz w:val="21"/>
                <w:szCs w:val="21"/>
              </w:rPr>
            </w:pPr>
            <w:r>
              <w:rPr>
                <w:rFonts w:hint="eastAsia" w:ascii="宋体" w:hAnsi="宋体" w:cs="宋体"/>
                <w:sz w:val="21"/>
                <w:szCs w:val="21"/>
              </w:rPr>
              <w:t>3.课前推送预习材料</w:t>
            </w:r>
          </w:p>
          <w:p>
            <w:pPr>
              <w:pStyle w:val="101"/>
              <w:adjustRightInd/>
              <w:ind w:firstLine="262" w:firstLineChars="100"/>
              <w:rPr>
                <w:rFonts w:ascii="宋体" w:hAnsi="宋体" w:cs="宋体"/>
                <w:sz w:val="21"/>
                <w:szCs w:val="21"/>
              </w:rPr>
            </w:pPr>
            <w:r>
              <w:rPr>
                <w:rFonts w:hint="eastAsia" w:ascii="宋体" w:hAnsi="宋体" w:cs="宋体"/>
                <w:sz w:val="21"/>
                <w:szCs w:val="21"/>
              </w:rPr>
              <w:t>(1）教师可以在PPT中插入多种类型考题，插入MOOC视频和优酷土豆等第三方视频插入，可以根据学生专业基础，所在学校的培养目标定位和所在教学团队的所长，借用MOOC视频和课件自由组合成属于自己的教学方案，定制符合自己教学风格和教学节奏的教学设计。</w:t>
            </w:r>
          </w:p>
          <w:p>
            <w:pPr>
              <w:pStyle w:val="101"/>
              <w:adjustRightInd/>
              <w:ind w:firstLine="262" w:firstLineChars="100"/>
              <w:rPr>
                <w:rFonts w:ascii="宋体" w:hAnsi="宋体" w:cs="宋体"/>
                <w:sz w:val="21"/>
                <w:szCs w:val="21"/>
              </w:rPr>
            </w:pPr>
            <w:r>
              <w:rPr>
                <w:rFonts w:hint="eastAsia" w:ascii="宋体" w:hAnsi="宋体" w:cs="宋体"/>
                <w:sz w:val="21"/>
                <w:szCs w:val="21"/>
              </w:rPr>
              <w:t>(2）教师可以将预习材料上传至手机，推送到学生微信。</w:t>
            </w:r>
          </w:p>
          <w:p>
            <w:pPr>
              <w:pStyle w:val="101"/>
              <w:adjustRightInd/>
              <w:ind w:firstLine="524" w:firstLineChars="200"/>
              <w:rPr>
                <w:rFonts w:ascii="宋体" w:hAnsi="宋体" w:cs="宋体"/>
                <w:sz w:val="21"/>
                <w:szCs w:val="21"/>
              </w:rPr>
            </w:pPr>
            <w:r>
              <w:rPr>
                <w:rFonts w:hint="eastAsia" w:ascii="宋体" w:hAnsi="宋体" w:cs="宋体"/>
                <w:sz w:val="21"/>
                <w:szCs w:val="21"/>
              </w:rPr>
              <w:t>(3）教师可以对每一页课件进行语音讲解，进行重点提点和针对性讲解，丰富课件内容，方便学生理解和学习。（需提供截图）</w:t>
            </w:r>
          </w:p>
          <w:p>
            <w:pPr>
              <w:pStyle w:val="101"/>
              <w:adjustRightInd/>
              <w:ind w:firstLine="262" w:firstLineChars="100"/>
              <w:rPr>
                <w:rFonts w:ascii="宋体" w:hAnsi="宋体" w:cs="宋体"/>
                <w:sz w:val="21"/>
                <w:szCs w:val="21"/>
              </w:rPr>
            </w:pPr>
            <w:r>
              <w:rPr>
                <w:rFonts w:hint="eastAsia" w:ascii="宋体" w:hAnsi="宋体" w:cs="宋体"/>
                <w:sz w:val="21"/>
                <w:szCs w:val="21"/>
              </w:rPr>
              <w:t>(4）教师可以设置预习截止时间，在节点前没有预习的学生会收到信息提示。</w:t>
            </w:r>
          </w:p>
          <w:p>
            <w:pPr>
              <w:pStyle w:val="101"/>
              <w:adjustRightInd/>
              <w:ind w:firstLine="524" w:firstLineChars="200"/>
              <w:rPr>
                <w:rFonts w:ascii="宋体" w:hAnsi="宋体" w:cs="宋体"/>
                <w:sz w:val="21"/>
                <w:szCs w:val="21"/>
              </w:rPr>
            </w:pPr>
            <w:r>
              <w:rPr>
                <w:rFonts w:hint="eastAsia" w:ascii="宋体" w:hAnsi="宋体" w:cs="宋体"/>
                <w:sz w:val="21"/>
                <w:szCs w:val="21"/>
              </w:rPr>
              <w:t>(5）▲教师可以详细查看学生预习情况：是否预习，预习时间及时长（默认每页PPT停留3秒以上做预习记录）。（需提供截图）</w:t>
            </w:r>
          </w:p>
          <w:p>
            <w:pPr>
              <w:pStyle w:val="101"/>
              <w:adjustRightInd/>
              <w:ind w:firstLine="524" w:firstLineChars="200"/>
              <w:rPr>
                <w:rFonts w:ascii="宋体" w:hAnsi="宋体" w:cs="宋体"/>
                <w:sz w:val="21"/>
                <w:szCs w:val="21"/>
              </w:rPr>
            </w:pPr>
            <w:r>
              <w:rPr>
                <w:rFonts w:hint="eastAsia" w:ascii="宋体" w:hAnsi="宋体" w:cs="宋体"/>
                <w:sz w:val="21"/>
                <w:szCs w:val="21"/>
              </w:rPr>
              <w:t>(6）教师可以随时预览课件。</w:t>
            </w:r>
          </w:p>
          <w:p>
            <w:pPr>
              <w:pStyle w:val="101"/>
              <w:adjustRightInd/>
              <w:ind w:firstLine="524" w:firstLineChars="200"/>
              <w:rPr>
                <w:rFonts w:ascii="宋体" w:hAnsi="宋体" w:cs="宋体"/>
                <w:sz w:val="21"/>
                <w:szCs w:val="21"/>
              </w:rPr>
            </w:pPr>
            <w:r>
              <w:rPr>
                <w:rFonts w:hint="eastAsia" w:ascii="宋体" w:hAnsi="宋体" w:cs="宋体"/>
                <w:sz w:val="21"/>
                <w:szCs w:val="21"/>
              </w:rPr>
              <w:t>(7）教师在手机端可以随时查看班级课件。</w:t>
            </w:r>
          </w:p>
          <w:p>
            <w:pPr>
              <w:pStyle w:val="101"/>
              <w:adjustRightInd/>
              <w:ind w:firstLine="524" w:firstLineChars="200"/>
              <w:rPr>
                <w:rFonts w:ascii="宋体" w:hAnsi="宋体" w:cs="宋体"/>
                <w:sz w:val="21"/>
                <w:szCs w:val="21"/>
              </w:rPr>
            </w:pPr>
            <w:r>
              <w:rPr>
                <w:rFonts w:hint="eastAsia" w:ascii="宋体" w:hAnsi="宋体" w:cs="宋体"/>
                <w:sz w:val="21"/>
                <w:szCs w:val="21"/>
              </w:rPr>
              <w:t>4.课堂教学</w:t>
            </w:r>
          </w:p>
          <w:p>
            <w:pPr>
              <w:pStyle w:val="101"/>
              <w:adjustRightInd/>
              <w:ind w:firstLine="524" w:firstLineChars="200"/>
              <w:rPr>
                <w:rFonts w:ascii="宋体" w:hAnsi="宋体" w:cs="宋体"/>
                <w:sz w:val="21"/>
                <w:szCs w:val="21"/>
              </w:rPr>
            </w:pPr>
            <w:r>
              <w:rPr>
                <w:rFonts w:hint="eastAsia" w:ascii="宋体" w:hAnsi="宋体" w:cs="宋体"/>
                <w:sz w:val="21"/>
                <w:szCs w:val="21"/>
              </w:rPr>
              <w:t>(1） 支持课堂签到：教师一键开启授课，学生扫描课堂二维码、或输入教师分享的邀请码等方式进行签到；（需提供截图）</w:t>
            </w:r>
          </w:p>
          <w:p>
            <w:pPr>
              <w:pStyle w:val="101"/>
              <w:adjustRightInd/>
              <w:ind w:firstLine="524" w:firstLineChars="200"/>
              <w:rPr>
                <w:rFonts w:ascii="宋体" w:hAnsi="宋体" w:cs="宋体"/>
                <w:sz w:val="21"/>
                <w:szCs w:val="21"/>
              </w:rPr>
            </w:pPr>
            <w:r>
              <w:rPr>
                <w:rFonts w:hint="eastAsia" w:ascii="宋体" w:hAnsi="宋体" w:cs="宋体"/>
                <w:sz w:val="21"/>
                <w:szCs w:val="21"/>
              </w:rPr>
              <w:t xml:space="preserve">(2） 支持课件同步：课件实时同步到学生手机端（免去学生上课忙于抄写、拍照，课后要ppt的情形，可随时再现复习课堂教学内容）； </w:t>
            </w:r>
          </w:p>
          <w:p>
            <w:pPr>
              <w:pStyle w:val="101"/>
              <w:adjustRightInd/>
              <w:ind w:firstLine="524" w:firstLineChars="200"/>
              <w:rPr>
                <w:rFonts w:ascii="宋体" w:hAnsi="宋体" w:cs="宋体"/>
                <w:sz w:val="21"/>
                <w:szCs w:val="21"/>
              </w:rPr>
            </w:pPr>
            <w:r>
              <w:rPr>
                <w:rFonts w:hint="eastAsia" w:ascii="宋体" w:hAnsi="宋体" w:cs="宋体"/>
                <w:sz w:val="21"/>
                <w:szCs w:val="21"/>
              </w:rPr>
              <w:t>(3） 支持学习反馈：课堂教学中如有学生不懂，可以点击不懂，也可以收藏课件以备后续复习；</w:t>
            </w:r>
          </w:p>
          <w:p>
            <w:pPr>
              <w:pStyle w:val="101"/>
              <w:adjustRightInd/>
              <w:ind w:firstLine="524" w:firstLineChars="200"/>
              <w:rPr>
                <w:rFonts w:ascii="宋体" w:hAnsi="宋体" w:cs="宋体"/>
                <w:sz w:val="21"/>
                <w:szCs w:val="21"/>
              </w:rPr>
            </w:pPr>
            <w:r>
              <w:rPr>
                <w:rFonts w:hint="eastAsia" w:ascii="宋体" w:hAnsi="宋体" w:cs="宋体"/>
                <w:sz w:val="21"/>
                <w:szCs w:val="21"/>
              </w:rPr>
              <w:t>(4） 支持随堂小测：课堂支持限时随堂测验，支持单选，多选和投票题。随堂测试结果实时显示，方便教师实时了解答题情况。</w:t>
            </w:r>
          </w:p>
          <w:p>
            <w:pPr>
              <w:pStyle w:val="101"/>
              <w:adjustRightInd/>
              <w:ind w:firstLine="524" w:firstLineChars="200"/>
              <w:rPr>
                <w:rFonts w:ascii="宋体" w:hAnsi="宋体" w:cs="宋体"/>
                <w:sz w:val="21"/>
                <w:szCs w:val="21"/>
              </w:rPr>
            </w:pPr>
            <w:r>
              <w:rPr>
                <w:rFonts w:hint="eastAsia" w:ascii="宋体" w:hAnsi="宋体" w:cs="宋体"/>
                <w:sz w:val="21"/>
                <w:szCs w:val="21"/>
              </w:rPr>
              <w:t>(5）支持随堂考试：课堂结束后，教师可以查看学生答题情况；</w:t>
            </w:r>
          </w:p>
          <w:p>
            <w:pPr>
              <w:pStyle w:val="101"/>
              <w:adjustRightInd/>
              <w:ind w:firstLine="524" w:firstLineChars="200"/>
              <w:rPr>
                <w:rFonts w:ascii="宋体" w:hAnsi="宋体" w:cs="宋体"/>
                <w:sz w:val="21"/>
                <w:szCs w:val="21"/>
              </w:rPr>
            </w:pPr>
            <w:r>
              <w:rPr>
                <w:rFonts w:hint="eastAsia" w:ascii="宋体" w:hAnsi="宋体" w:cs="宋体"/>
                <w:sz w:val="21"/>
                <w:szCs w:val="21"/>
              </w:rPr>
              <w:t>(6） 弹幕互动：教师可根据课堂教学情况随时开启弹幕，组织学生讨论，活跃课堂气氛，增加师生实时互动；</w:t>
            </w:r>
          </w:p>
          <w:p>
            <w:pPr>
              <w:pStyle w:val="101"/>
              <w:adjustRightInd/>
              <w:ind w:firstLine="524" w:firstLineChars="200"/>
              <w:rPr>
                <w:rFonts w:ascii="宋体" w:hAnsi="宋体" w:cs="宋体"/>
                <w:sz w:val="21"/>
                <w:szCs w:val="21"/>
              </w:rPr>
            </w:pPr>
            <w:r>
              <w:rPr>
                <w:rFonts w:hint="eastAsia" w:ascii="宋体" w:hAnsi="宋体" w:cs="宋体"/>
                <w:sz w:val="21"/>
                <w:szCs w:val="21"/>
              </w:rPr>
              <w:t>(7）课堂红包：发红包给随堂考题答题又快又好的学生，激励学生认真听讲，认真掌握所学知识点；（需提供截图）</w:t>
            </w:r>
          </w:p>
          <w:p>
            <w:pPr>
              <w:pStyle w:val="101"/>
              <w:adjustRightInd/>
              <w:ind w:firstLine="524" w:firstLineChars="200"/>
              <w:rPr>
                <w:rFonts w:ascii="宋体" w:hAnsi="宋体" w:cs="宋体"/>
                <w:sz w:val="21"/>
                <w:szCs w:val="21"/>
              </w:rPr>
            </w:pPr>
            <w:r>
              <w:rPr>
                <w:rFonts w:hint="eastAsia" w:ascii="宋体" w:hAnsi="宋体" w:cs="宋体"/>
                <w:sz w:val="21"/>
                <w:szCs w:val="21"/>
              </w:rPr>
              <w:t>(8）支持教学反馈：老师结束授课后，收到“课程小结”和随堂小测数据，“不懂”课件数据，教学课件详情，考卷数据，弹幕详情，教学笔记等）。</w:t>
            </w:r>
          </w:p>
          <w:p>
            <w:pPr>
              <w:pStyle w:val="101"/>
              <w:adjustRightInd/>
              <w:ind w:firstLine="262" w:firstLineChars="100"/>
              <w:rPr>
                <w:rFonts w:ascii="宋体" w:hAnsi="宋体" w:cs="宋体"/>
                <w:sz w:val="21"/>
                <w:szCs w:val="21"/>
              </w:rPr>
            </w:pPr>
            <w:r>
              <w:rPr>
                <w:rFonts w:hint="eastAsia" w:ascii="宋体" w:hAnsi="宋体" w:cs="宋体"/>
                <w:sz w:val="21"/>
                <w:szCs w:val="21"/>
              </w:rPr>
              <w:t>5.课后练习</w:t>
            </w:r>
          </w:p>
          <w:p>
            <w:pPr>
              <w:pStyle w:val="101"/>
              <w:adjustRightInd/>
              <w:ind w:firstLine="524" w:firstLineChars="200"/>
              <w:rPr>
                <w:rFonts w:ascii="宋体" w:hAnsi="宋体" w:cs="宋体"/>
                <w:sz w:val="21"/>
                <w:szCs w:val="21"/>
              </w:rPr>
            </w:pPr>
            <w:r>
              <w:rPr>
                <w:rFonts w:hint="eastAsia" w:ascii="宋体" w:hAnsi="宋体" w:cs="宋体"/>
                <w:sz w:val="21"/>
                <w:szCs w:val="21"/>
              </w:rPr>
              <w:t>(1）教师可从试卷库选择考卷发送给指定的班级。</w:t>
            </w:r>
          </w:p>
          <w:p>
            <w:pPr>
              <w:pStyle w:val="101"/>
              <w:adjustRightInd/>
              <w:ind w:firstLine="524" w:firstLineChars="200"/>
              <w:rPr>
                <w:rFonts w:ascii="宋体" w:hAnsi="宋体" w:cs="宋体"/>
                <w:sz w:val="21"/>
                <w:szCs w:val="21"/>
              </w:rPr>
            </w:pPr>
            <w:r>
              <w:rPr>
                <w:rFonts w:hint="eastAsia" w:ascii="宋体" w:hAnsi="宋体" w:cs="宋体"/>
                <w:sz w:val="21"/>
                <w:szCs w:val="21"/>
              </w:rPr>
              <w:t>(2）教师可自定义答案显示时间。延迟显示答案，防止作弊。</w:t>
            </w:r>
          </w:p>
          <w:p>
            <w:pPr>
              <w:pStyle w:val="101"/>
              <w:adjustRightInd/>
              <w:ind w:firstLine="524" w:firstLineChars="200"/>
              <w:rPr>
                <w:rFonts w:ascii="宋体" w:hAnsi="宋体" w:cs="宋体"/>
                <w:sz w:val="21"/>
                <w:szCs w:val="21"/>
              </w:rPr>
            </w:pPr>
            <w:r>
              <w:rPr>
                <w:rFonts w:hint="eastAsia" w:ascii="宋体" w:hAnsi="宋体" w:cs="宋体"/>
                <w:sz w:val="21"/>
                <w:szCs w:val="21"/>
              </w:rPr>
              <w:t>(3）教师可以设置答卷截止日期，截止日期前没有答卷的学生会收到提醒。</w:t>
            </w:r>
          </w:p>
          <w:p>
            <w:pPr>
              <w:pStyle w:val="101"/>
              <w:adjustRightInd/>
              <w:ind w:firstLine="524" w:firstLineChars="200"/>
              <w:rPr>
                <w:rFonts w:ascii="宋体" w:hAnsi="宋体" w:cs="宋体"/>
                <w:sz w:val="21"/>
                <w:szCs w:val="21"/>
              </w:rPr>
            </w:pPr>
            <w:r>
              <w:rPr>
                <w:rFonts w:hint="eastAsia" w:ascii="宋体" w:hAnsi="宋体" w:cs="宋体"/>
                <w:sz w:val="21"/>
                <w:szCs w:val="21"/>
              </w:rPr>
              <w:t>(4）▲试卷小结：教师可实时查看考卷数据，包括考卷预览，考卷完成情况，学生得分分布情况，学生答题正确率对比图，学生答题详情。（需提供截图）。</w:t>
            </w:r>
          </w:p>
          <w:p>
            <w:pPr>
              <w:pStyle w:val="101"/>
              <w:adjustRightInd/>
              <w:rPr>
                <w:rFonts w:ascii="宋体" w:hAnsi="宋体" w:cs="宋体"/>
                <w:sz w:val="21"/>
                <w:szCs w:val="21"/>
              </w:rPr>
            </w:pPr>
            <w:r>
              <w:rPr>
                <w:rFonts w:hint="eastAsia" w:ascii="宋体" w:hAnsi="宋体" w:cs="宋体"/>
                <w:sz w:val="21"/>
                <w:szCs w:val="21"/>
              </w:rPr>
              <w:t>(七)．教学平台</w:t>
            </w:r>
          </w:p>
          <w:p>
            <w:pPr>
              <w:pStyle w:val="101"/>
              <w:adjustRightInd/>
              <w:ind w:firstLine="262" w:firstLineChars="100"/>
              <w:rPr>
                <w:rFonts w:ascii="宋体" w:hAnsi="宋体" w:cs="宋体"/>
                <w:sz w:val="21"/>
                <w:szCs w:val="21"/>
              </w:rPr>
            </w:pPr>
            <w:r>
              <w:rPr>
                <w:rFonts w:hint="eastAsia" w:ascii="宋体" w:hAnsi="宋体" w:cs="宋体"/>
                <w:sz w:val="21"/>
                <w:szCs w:val="21"/>
              </w:rPr>
              <w:t>▲ 1.符合《教育部办公厅关于开展2018年国家精品在线开放课程认定工作的通知》中规定的“全国性公开课程平台，可面向高校和社会学习者开展教学活动”有一定的注册用户数量。</w:t>
            </w:r>
          </w:p>
          <w:p>
            <w:pPr>
              <w:pStyle w:val="101"/>
              <w:adjustRightInd/>
              <w:ind w:firstLine="262" w:firstLineChars="100"/>
              <w:rPr>
                <w:rFonts w:ascii="宋体" w:hAnsi="宋体" w:cs="宋体"/>
                <w:sz w:val="21"/>
                <w:szCs w:val="21"/>
              </w:rPr>
            </w:pPr>
            <w:r>
              <w:rPr>
                <w:rFonts w:hint="eastAsia" w:ascii="宋体" w:hAnsi="宋体" w:cs="宋体"/>
                <w:sz w:val="21"/>
                <w:szCs w:val="21"/>
              </w:rPr>
              <w:t>▲ 2.平台能实现随堂学习、自主学习两种模式。</w:t>
            </w:r>
          </w:p>
          <w:p>
            <w:pPr>
              <w:ind w:firstLine="262" w:firstLineChars="100"/>
              <w:rPr>
                <w:rFonts w:ascii="宋体" w:hAnsi="宋体" w:eastAsia="宋体" w:cs="宋体"/>
                <w:color w:val="000000"/>
                <w:kern w:val="0"/>
                <w:sz w:val="21"/>
                <w:szCs w:val="21"/>
              </w:rPr>
            </w:pPr>
            <w:r>
              <w:rPr>
                <w:rFonts w:hint="eastAsia" w:ascii="宋体" w:hAnsi="宋体" w:eastAsia="宋体" w:cs="宋体"/>
                <w:color w:val="000000"/>
                <w:kern w:val="0"/>
                <w:sz w:val="21"/>
                <w:szCs w:val="21"/>
              </w:rPr>
              <w:t>▲ 3.符合《教育信息化十年发展规划》第十一章：推动教育信息化国际交流与合作。加强国际交流，参与教育信息化相关国际组织活动，参与国际标准制订，学习借鉴国外先进理念，学习引进国外优质数字教育资源和先进技术，缩小与国际先进水平的差距；利用信息化手段加强各级各类教育机构和学校在人才培养、科学研究等方面的国际合作。投标人所运营MOOC平台具有国际影响力，与国外主流MOOC平台斯坦福、edX、Fun等签署战略合作协议，须提供战略合作协议或相关说明。</w:t>
            </w:r>
          </w:p>
          <w:p>
            <w:pPr>
              <w:rPr>
                <w:rFonts w:ascii="宋体" w:hAnsi="宋体" w:eastAsia="宋体" w:cs="宋体"/>
                <w:color w:val="000000"/>
                <w:kern w:val="0"/>
                <w:sz w:val="21"/>
                <w:szCs w:val="21"/>
              </w:rPr>
            </w:pPr>
            <w:r>
              <w:rPr>
                <w:rFonts w:hint="eastAsia" w:ascii="宋体" w:hAnsi="宋体" w:eastAsia="宋体" w:cs="宋体"/>
                <w:color w:val="000000"/>
                <w:kern w:val="0"/>
                <w:sz w:val="21"/>
                <w:szCs w:val="21"/>
              </w:rPr>
              <w:t>二、产品技术培训与售后服务:</w:t>
            </w:r>
          </w:p>
          <w:p>
            <w:pPr>
              <w:rPr>
                <w:rFonts w:ascii="宋体" w:hAnsi="宋体" w:eastAsia="宋体" w:cs="宋体"/>
                <w:color w:val="000000"/>
                <w:kern w:val="0"/>
                <w:sz w:val="21"/>
                <w:szCs w:val="21"/>
              </w:rPr>
            </w:pPr>
            <w:r>
              <w:rPr>
                <w:rFonts w:hint="eastAsia" w:ascii="宋体" w:hAnsi="宋体" w:eastAsia="宋体" w:cs="宋体"/>
                <w:color w:val="000000"/>
                <w:kern w:val="0"/>
                <w:sz w:val="21"/>
                <w:szCs w:val="21"/>
              </w:rPr>
              <w:t>(一).质量保证期、售后服务要求</w:t>
            </w:r>
          </w:p>
          <w:p>
            <w:pPr>
              <w:rPr>
                <w:rFonts w:ascii="宋体" w:hAnsi="宋体" w:eastAsia="宋体" w:cs="宋体"/>
                <w:sz w:val="21"/>
                <w:szCs w:val="21"/>
              </w:rPr>
            </w:pPr>
            <w:r>
              <w:rPr>
                <w:rFonts w:hint="eastAsia" w:ascii="宋体" w:hAnsi="宋体" w:eastAsia="宋体" w:cs="宋体"/>
                <w:sz w:val="21"/>
                <w:szCs w:val="21"/>
              </w:rPr>
              <w:t>质保期一年，要求服务提供商在课程交付后一年内提供课程完善改进等相关服务，提供厂商售后服务承诺函并加盖厂商公章</w:t>
            </w:r>
          </w:p>
          <w:p>
            <w:pPr>
              <w:rPr>
                <w:rFonts w:ascii="宋体" w:hAnsi="宋体" w:eastAsia="宋体" w:cs="宋体"/>
                <w:color w:val="000000"/>
                <w:kern w:val="0"/>
                <w:sz w:val="21"/>
                <w:szCs w:val="21"/>
              </w:rPr>
            </w:pPr>
            <w:r>
              <w:rPr>
                <w:rFonts w:hint="eastAsia" w:ascii="宋体" w:hAnsi="宋体" w:eastAsia="宋体" w:cs="宋体"/>
                <w:color w:val="000000"/>
                <w:kern w:val="0"/>
                <w:sz w:val="21"/>
                <w:szCs w:val="21"/>
              </w:rPr>
              <w:t>（二）.维修服务与技术支持</w:t>
            </w:r>
          </w:p>
          <w:p>
            <w:pPr>
              <w:ind w:firstLine="262" w:firstLineChars="100"/>
              <w:rPr>
                <w:rFonts w:ascii="宋体" w:hAnsi="宋体" w:eastAsia="宋体" w:cs="宋体"/>
                <w:color w:val="000000"/>
                <w:kern w:val="0"/>
                <w:sz w:val="21"/>
                <w:szCs w:val="21"/>
              </w:rPr>
            </w:pPr>
            <w:r>
              <w:rPr>
                <w:rFonts w:hint="eastAsia" w:ascii="宋体" w:hAnsi="宋体" w:eastAsia="宋体" w:cs="宋体"/>
                <w:color w:val="000000"/>
                <w:kern w:val="0"/>
                <w:sz w:val="21"/>
                <w:szCs w:val="21"/>
              </w:rPr>
              <w:t>1.全部视频成片交付使用后30天内发现不合格产品，投标商无条件更换、更新。</w:t>
            </w:r>
          </w:p>
          <w:p>
            <w:pPr>
              <w:ind w:firstLine="262" w:firstLineChars="100"/>
              <w:rPr>
                <w:rFonts w:ascii="宋体" w:hAnsi="宋体" w:eastAsia="宋体" w:cs="宋体"/>
                <w:color w:val="000000"/>
                <w:kern w:val="0"/>
                <w:sz w:val="21"/>
                <w:szCs w:val="21"/>
              </w:rPr>
            </w:pPr>
            <w:r>
              <w:rPr>
                <w:rFonts w:hint="eastAsia" w:ascii="宋体" w:hAnsi="宋体" w:eastAsia="宋体" w:cs="宋体"/>
                <w:color w:val="000000"/>
                <w:kern w:val="0"/>
                <w:sz w:val="21"/>
                <w:szCs w:val="21"/>
              </w:rPr>
              <w:t>2.在保质期内设备运行出现异常或故障时，2小时响应，4小时到达现场，24小时修复。</w:t>
            </w:r>
          </w:p>
          <w:p>
            <w:pPr>
              <w:ind w:firstLine="262" w:firstLineChars="100"/>
              <w:rPr>
                <w:rFonts w:ascii="宋体" w:hAnsi="宋体" w:eastAsia="宋体" w:cs="宋体"/>
                <w:color w:val="000000"/>
                <w:kern w:val="0"/>
                <w:sz w:val="21"/>
                <w:szCs w:val="21"/>
              </w:rPr>
            </w:pPr>
            <w:r>
              <w:rPr>
                <w:rFonts w:hint="eastAsia" w:ascii="宋体" w:hAnsi="宋体" w:eastAsia="宋体" w:cs="宋体"/>
                <w:color w:val="000000"/>
                <w:kern w:val="0"/>
                <w:sz w:val="21"/>
                <w:szCs w:val="21"/>
              </w:rPr>
              <w:t>3.终身技术支持：随时提供电话、网络或书面解答产品使用方面的疑问，必要时专人现场服务；在线课程投入使用后，中标方须保证全天候7*24小时的维护响应，接到用户报修故障后，30分钟内响应，1小时内到达现场，24小时内故障排除。</w:t>
            </w:r>
          </w:p>
          <w:p>
            <w:pPr>
              <w:rPr>
                <w:rFonts w:ascii="宋体" w:hAnsi="宋体" w:eastAsia="宋体" w:cs="宋体"/>
                <w:color w:val="000000"/>
                <w:kern w:val="0"/>
                <w:sz w:val="21"/>
                <w:szCs w:val="21"/>
              </w:rPr>
            </w:pPr>
          </w:p>
          <w:p>
            <w:pPr>
              <w:rPr>
                <w:rFonts w:ascii="宋体" w:hAnsi="宋体" w:eastAsia="宋体" w:cs="宋体"/>
                <w:color w:val="000000"/>
                <w:kern w:val="0"/>
                <w:sz w:val="21"/>
                <w:szCs w:val="21"/>
              </w:rPr>
            </w:pPr>
            <w:r>
              <w:rPr>
                <w:rFonts w:hint="eastAsia" w:ascii="宋体" w:hAnsi="宋体" w:eastAsia="宋体" w:cs="宋体"/>
                <w:color w:val="000000"/>
                <w:kern w:val="0"/>
                <w:sz w:val="21"/>
                <w:szCs w:val="21"/>
              </w:rPr>
              <w:t>三、培训</w:t>
            </w:r>
          </w:p>
          <w:p>
            <w:pPr>
              <w:ind w:firstLine="524"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中标方必须向用户提供免费培训，制定全面、详细的培训计划，如遇到买方人员变动，卖方应应买方要求，无条件提供培训服务，直至买方全面掌握使用方法。软件应根据用户要求提供系统维护人员及使用人员等不同层次的培训，时间及范围由用户指定。</w:t>
            </w:r>
          </w:p>
          <w:p>
            <w:pPr>
              <w:rPr>
                <w:rFonts w:ascii="宋体" w:hAnsi="宋体" w:eastAsia="宋体" w:cs="宋体"/>
                <w:color w:val="000000"/>
                <w:kern w:val="0"/>
                <w:sz w:val="21"/>
                <w:szCs w:val="21"/>
              </w:rPr>
            </w:pPr>
            <w:r>
              <w:rPr>
                <w:rFonts w:hint="eastAsia" w:ascii="宋体" w:hAnsi="宋体" w:eastAsia="宋体" w:cs="宋体"/>
                <w:color w:val="000000"/>
                <w:kern w:val="0"/>
                <w:sz w:val="21"/>
                <w:szCs w:val="21"/>
              </w:rPr>
              <w:t>四、其他要求</w:t>
            </w:r>
          </w:p>
          <w:p>
            <w:pPr>
              <w:rPr>
                <w:rFonts w:ascii="宋体" w:hAnsi="宋体" w:eastAsia="宋体" w:cs="宋体"/>
                <w:color w:val="000000"/>
                <w:kern w:val="0"/>
                <w:sz w:val="21"/>
                <w:szCs w:val="21"/>
              </w:rPr>
            </w:pPr>
            <w:r>
              <w:rPr>
                <w:rFonts w:hint="eastAsia" w:ascii="宋体" w:hAnsi="宋体" w:eastAsia="宋体" w:cs="宋体"/>
                <w:color w:val="000000"/>
                <w:kern w:val="0"/>
                <w:sz w:val="21"/>
                <w:szCs w:val="21"/>
              </w:rPr>
              <w:t>(一)、提供以投标人所运营的具有自主知识产权的在线课程平台（提供软件著作权加盖公章）申报并评为2017、2018年国家精品在线开放课程名单，课程清单以《教育部办公厅关于公布2017年国家精品在线开放课程认定结果的通知》、《教育部办公厅关于公布2018国家精品在线开放课程认定结果的通知》为准；</w:t>
            </w:r>
          </w:p>
          <w:p>
            <w:pPr>
              <w:rPr>
                <w:rFonts w:ascii="宋体" w:hAnsi="宋体" w:eastAsia="宋体" w:cs="宋体"/>
                <w:color w:val="000000"/>
                <w:kern w:val="0"/>
                <w:sz w:val="21"/>
                <w:szCs w:val="21"/>
              </w:rPr>
            </w:pPr>
            <w:r>
              <w:rPr>
                <w:rFonts w:hint="eastAsia" w:ascii="宋体" w:hAnsi="宋体" w:eastAsia="宋体" w:cs="宋体"/>
                <w:color w:val="000000"/>
                <w:kern w:val="0"/>
                <w:sz w:val="21"/>
                <w:szCs w:val="21"/>
              </w:rPr>
              <w:t>（二）、提供用于教学的制作视频公开课或慕课课制作案例（提供合同复印件，</w:t>
            </w:r>
            <w:r>
              <w:rPr>
                <w:rFonts w:hint="eastAsia" w:ascii="宋体" w:hAnsi="宋体" w:eastAsia="宋体" w:cs="宋体"/>
                <w:snapToGrid w:val="0"/>
                <w:kern w:val="0"/>
                <w:sz w:val="21"/>
                <w:szCs w:val="21"/>
              </w:rPr>
              <w:t>应可从合同复印件中明确辨识出合同采购内容、金额明细、签订日期、双方签字盖章</w:t>
            </w:r>
            <w:r>
              <w:rPr>
                <w:rFonts w:hint="eastAsia" w:ascii="宋体" w:hAnsi="宋体" w:eastAsia="宋体" w:cs="宋体"/>
                <w:color w:val="000000"/>
                <w:kern w:val="0"/>
                <w:sz w:val="21"/>
                <w:szCs w:val="21"/>
              </w:rPr>
              <w:t>）。</w:t>
            </w:r>
          </w:p>
          <w:p>
            <w:pPr>
              <w:rPr>
                <w:rFonts w:ascii="宋体" w:hAnsi="宋体" w:eastAsia="宋体" w:cs="宋体"/>
                <w:color w:val="000000"/>
                <w:kern w:val="0"/>
                <w:sz w:val="21"/>
                <w:szCs w:val="21"/>
                <w:highlight w:val="yellow"/>
              </w:rPr>
            </w:pPr>
            <w:r>
              <w:rPr>
                <w:rFonts w:hint="eastAsia" w:ascii="宋体" w:hAnsi="宋体" w:eastAsia="宋体" w:cs="宋体"/>
                <w:color w:val="000000"/>
                <w:kern w:val="0"/>
                <w:sz w:val="21"/>
                <w:szCs w:val="21"/>
              </w:rPr>
              <w:t>五、供货时间：</w:t>
            </w:r>
            <w:r>
              <w:rPr>
                <w:rFonts w:hint="eastAsia" w:ascii="宋体" w:hAnsi="宋体" w:eastAsia="宋体" w:cs="宋体"/>
                <w:color w:val="000000"/>
                <w:kern w:val="0"/>
                <w:sz w:val="21"/>
                <w:szCs w:val="21"/>
                <w:highlight w:val="yellow"/>
              </w:rPr>
              <w:t>202</w:t>
            </w:r>
            <w:r>
              <w:rPr>
                <w:rFonts w:ascii="宋体" w:hAnsi="宋体" w:eastAsia="宋体" w:cs="宋体"/>
                <w:color w:val="000000"/>
                <w:kern w:val="0"/>
                <w:sz w:val="21"/>
                <w:szCs w:val="21"/>
                <w:highlight w:val="yellow"/>
              </w:rPr>
              <w:t>2</w:t>
            </w:r>
            <w:r>
              <w:rPr>
                <w:rFonts w:hint="eastAsia" w:ascii="宋体" w:hAnsi="宋体" w:eastAsia="宋体" w:cs="宋体"/>
                <w:color w:val="000000"/>
                <w:kern w:val="0"/>
                <w:sz w:val="21"/>
                <w:szCs w:val="21"/>
                <w:highlight w:val="yellow"/>
              </w:rPr>
              <w:t>年</w:t>
            </w:r>
            <w:r>
              <w:rPr>
                <w:rFonts w:ascii="宋体" w:hAnsi="宋体" w:eastAsia="宋体" w:cs="宋体"/>
                <w:color w:val="000000"/>
                <w:kern w:val="0"/>
                <w:sz w:val="21"/>
                <w:szCs w:val="21"/>
                <w:highlight w:val="yellow"/>
              </w:rPr>
              <w:t xml:space="preserve">   </w:t>
            </w:r>
            <w:r>
              <w:rPr>
                <w:rFonts w:hint="eastAsia" w:ascii="宋体" w:hAnsi="宋体" w:eastAsia="宋体" w:cs="宋体"/>
                <w:color w:val="000000"/>
                <w:kern w:val="0"/>
                <w:sz w:val="21"/>
                <w:szCs w:val="21"/>
                <w:highlight w:val="yellow"/>
              </w:rPr>
              <w:t>月</w:t>
            </w:r>
            <w:r>
              <w:rPr>
                <w:rFonts w:ascii="宋体" w:hAnsi="宋体" w:eastAsia="宋体" w:cs="宋体"/>
                <w:color w:val="000000"/>
                <w:kern w:val="0"/>
                <w:sz w:val="21"/>
                <w:szCs w:val="21"/>
                <w:highlight w:val="yellow"/>
              </w:rPr>
              <w:t xml:space="preserve">   </w:t>
            </w:r>
            <w:r>
              <w:rPr>
                <w:rFonts w:hint="eastAsia" w:ascii="宋体" w:hAnsi="宋体" w:eastAsia="宋体" w:cs="宋体"/>
                <w:color w:val="000000"/>
                <w:kern w:val="0"/>
                <w:sz w:val="21"/>
                <w:szCs w:val="21"/>
                <w:highlight w:val="yellow"/>
              </w:rPr>
              <w:t>日前交付本项目所需所有成品课程。</w:t>
            </w:r>
          </w:p>
          <w:p>
            <w:pPr>
              <w:rPr>
                <w:rFonts w:ascii="宋体" w:hAnsi="宋体" w:eastAsia="宋体" w:cs="宋体"/>
                <w:color w:val="000000"/>
                <w:kern w:val="0"/>
                <w:sz w:val="21"/>
                <w:szCs w:val="21"/>
              </w:rPr>
            </w:pPr>
            <w:r>
              <w:rPr>
                <w:rFonts w:hint="eastAsia" w:ascii="宋体" w:hAnsi="宋体" w:eastAsia="宋体" w:cs="宋体"/>
                <w:color w:val="000000"/>
                <w:kern w:val="0"/>
                <w:sz w:val="21"/>
                <w:szCs w:val="21"/>
              </w:rPr>
              <w:t>六、供货地点：</w:t>
            </w:r>
            <w:r>
              <w:rPr>
                <w:rFonts w:hint="eastAsia" w:ascii="宋体" w:hAnsi="宋体" w:eastAsia="宋体" w:cs="宋体"/>
                <w:color w:val="000000"/>
                <w:kern w:val="0"/>
                <w:sz w:val="21"/>
                <w:szCs w:val="21"/>
                <w:highlight w:val="yellow"/>
              </w:rPr>
              <w:t>汕头大学医学院指定地点</w:t>
            </w:r>
          </w:p>
          <w:p>
            <w:pPr>
              <w:rPr>
                <w:rFonts w:ascii="宋体" w:hAnsi="宋体" w:eastAsia="宋体" w:cs="宋体"/>
                <w:color w:val="000000"/>
                <w:kern w:val="0"/>
                <w:sz w:val="21"/>
                <w:szCs w:val="21"/>
              </w:rPr>
            </w:pPr>
            <w:r>
              <w:rPr>
                <w:rFonts w:hint="eastAsia" w:ascii="宋体" w:hAnsi="宋体" w:eastAsia="宋体" w:cs="宋体"/>
                <w:color w:val="000000"/>
                <w:kern w:val="0"/>
                <w:sz w:val="21"/>
                <w:szCs w:val="21"/>
              </w:rPr>
              <w:t>七、验收标准：</w:t>
            </w:r>
          </w:p>
          <w:p>
            <w:pPr>
              <w:rPr>
                <w:rFonts w:ascii="宋体" w:hAnsi="宋体" w:eastAsia="宋体" w:cs="宋体"/>
                <w:sz w:val="21"/>
                <w:szCs w:val="21"/>
              </w:rPr>
            </w:pPr>
            <w:r>
              <w:rPr>
                <w:rFonts w:hint="eastAsia" w:ascii="宋体" w:hAnsi="宋体" w:eastAsia="宋体" w:cs="宋体"/>
                <w:sz w:val="21"/>
                <w:szCs w:val="21"/>
              </w:rPr>
              <w:t>（一）、课程视频具体要求：提交无字幕的高清格式（原始分辨率不低于4096×2160像素，非插值生成）成片高清原片一份。此外再提交供上传的、单个视频文件大小不超过1GB、分辨率不低于1920x1080、1280 x 720像素的压缩成片各一份。</w:t>
            </w:r>
          </w:p>
          <w:p>
            <w:pPr>
              <w:pStyle w:val="101"/>
              <w:adjustRightInd/>
              <w:rPr>
                <w:rFonts w:ascii="宋体" w:hAnsi="宋体" w:cs="宋体"/>
                <w:color w:val="auto"/>
                <w:sz w:val="21"/>
                <w:szCs w:val="21"/>
              </w:rPr>
            </w:pPr>
            <w:r>
              <w:rPr>
                <w:rFonts w:hint="eastAsia" w:ascii="宋体" w:hAnsi="宋体" w:cs="宋体"/>
                <w:color w:val="auto"/>
                <w:sz w:val="21"/>
                <w:szCs w:val="21"/>
              </w:rPr>
              <w:t>（二）、字幕具体要求：提供独立于视频文件的中、英文双语字幕文件，如有其它语言需求，须另附该语种字幕。字幕采用UTF-8编码，SRT格式。</w:t>
            </w:r>
          </w:p>
          <w:p>
            <w:pPr>
              <w:pStyle w:val="101"/>
              <w:adjustRightInd/>
              <w:rPr>
                <w:rFonts w:ascii="宋体" w:hAnsi="宋体" w:cs="宋体"/>
                <w:color w:val="auto"/>
                <w:sz w:val="21"/>
                <w:szCs w:val="21"/>
              </w:rPr>
            </w:pPr>
            <w:r>
              <w:rPr>
                <w:rFonts w:hint="eastAsia" w:ascii="宋体" w:hAnsi="宋体" w:cs="宋体"/>
                <w:color w:val="auto"/>
                <w:sz w:val="21"/>
                <w:szCs w:val="21"/>
              </w:rPr>
              <w:t>（三）、交付数字文件拷贝。</w:t>
            </w:r>
          </w:p>
          <w:p>
            <w:pPr>
              <w:pStyle w:val="101"/>
              <w:adjustRightInd/>
              <w:rPr>
                <w:rFonts w:ascii="宋体" w:hAnsi="宋体" w:cs="宋体"/>
                <w:color w:val="auto"/>
                <w:sz w:val="21"/>
                <w:szCs w:val="21"/>
              </w:rPr>
            </w:pPr>
            <w:r>
              <w:rPr>
                <w:rFonts w:hint="eastAsia" w:ascii="宋体" w:hAnsi="宋体" w:cs="宋体"/>
                <w:color w:val="auto"/>
                <w:sz w:val="21"/>
                <w:szCs w:val="21"/>
              </w:rPr>
              <w:t>（四）、满足技术标准中的后期制作要求</w:t>
            </w:r>
          </w:p>
        </w:tc>
      </w:tr>
    </w:tbl>
    <w:p>
      <w:pPr>
        <w:ind w:left="438" w:leftChars="132"/>
        <w:rPr>
          <w:rFonts w:ascii="宋体" w:hAnsi="宋体" w:eastAsia="宋体"/>
          <w:b/>
          <w:sz w:val="21"/>
          <w:szCs w:val="21"/>
        </w:rPr>
      </w:pPr>
      <w:r>
        <w:rPr>
          <w:rFonts w:hint="eastAsia"/>
          <w:szCs w:val="28"/>
        </w:rPr>
        <w:t xml:space="preserve"> </w:t>
      </w:r>
      <w:r>
        <w:rPr>
          <w:rFonts w:hint="eastAsia"/>
          <w:sz w:val="21"/>
          <w:szCs w:val="21"/>
        </w:rPr>
        <w:t xml:space="preserve"> </w:t>
      </w:r>
    </w:p>
    <w:p>
      <w:pPr>
        <w:framePr w:hSpace="180" w:wrap="around" w:vAnchor="text" w:hAnchor="margin" w:y="605"/>
        <w:rPr>
          <w:rFonts w:ascii="宋体" w:hAnsi="宋体" w:eastAsia="宋体"/>
        </w:rPr>
      </w:pPr>
      <w:r>
        <w:rPr>
          <w:rFonts w:hint="eastAsia"/>
          <w:sz w:val="24"/>
        </w:rPr>
        <w:t xml:space="preserve">   </w:t>
      </w:r>
    </w:p>
    <w:p>
      <w:pPr>
        <w:kinsoku w:val="0"/>
        <w:wordWrap w:val="0"/>
        <w:topLinePunct/>
        <w:spacing w:line="340" w:lineRule="exact"/>
        <w:jc w:val="center"/>
        <w:rPr>
          <w:rFonts w:ascii="宋体" w:hAnsi="宋体" w:eastAsia="宋体"/>
          <w:b/>
          <w:sz w:val="32"/>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合同（参考样本）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4"/>
        </w:rPr>
      </w:pPr>
      <w:r>
        <w:rPr>
          <w:rFonts w:hint="eastAsia" w:ascii="仿宋_GB2312" w:hAnsi="宋体"/>
          <w:sz w:val="24"/>
        </w:rPr>
        <w:t>需</w:t>
      </w:r>
      <w:r>
        <w:rPr>
          <w:rFonts w:ascii="仿宋_GB2312" w:hAnsi="宋体"/>
          <w:sz w:val="24"/>
        </w:rPr>
        <w:t xml:space="preserve">  </w:t>
      </w:r>
      <w:r>
        <w:rPr>
          <w:rFonts w:hint="eastAsia" w:ascii="仿宋_GB2312" w:hAnsi="宋体"/>
          <w:sz w:val="24"/>
        </w:rPr>
        <w:t>方（甲方）：</w:t>
      </w:r>
      <w:r>
        <w:rPr>
          <w:rFonts w:ascii="仿宋_GB2312" w:hAnsi="宋体"/>
          <w:sz w:val="24"/>
        </w:rPr>
        <w:t xml:space="preserve">                       </w:t>
      </w:r>
      <w:r>
        <w:rPr>
          <w:rFonts w:hint="eastAsia" w:ascii="仿宋_GB2312" w:hAnsi="宋体"/>
          <w:sz w:val="24"/>
        </w:rPr>
        <w:t>签订时间：</w:t>
      </w:r>
    </w:p>
    <w:p>
      <w:pPr>
        <w:kinsoku w:val="0"/>
        <w:wordWrap w:val="0"/>
        <w:topLinePunct/>
        <w:spacing w:line="340" w:lineRule="exact"/>
        <w:rPr>
          <w:rFonts w:ascii="仿宋_GB2312" w:hAnsi="宋体"/>
          <w:sz w:val="24"/>
        </w:rPr>
      </w:pPr>
      <w:r>
        <w:rPr>
          <w:rFonts w:hint="eastAsia" w:ascii="仿宋_GB2312" w:hAnsi="宋体"/>
          <w:sz w:val="24"/>
        </w:rPr>
        <w:t>供</w:t>
      </w:r>
      <w:r>
        <w:rPr>
          <w:rFonts w:ascii="仿宋_GB2312" w:hAnsi="宋体"/>
          <w:sz w:val="24"/>
        </w:rPr>
        <w:t xml:space="preserve">  </w:t>
      </w:r>
      <w:r>
        <w:rPr>
          <w:rFonts w:hint="eastAsia" w:ascii="仿宋_GB2312" w:hAnsi="宋体"/>
          <w:sz w:val="24"/>
        </w:rPr>
        <w:t xml:space="preserve">方（乙方）：  </w:t>
      </w:r>
      <w:r>
        <w:rPr>
          <w:rFonts w:ascii="仿宋_GB2312" w:hAnsi="宋体"/>
          <w:sz w:val="24"/>
        </w:rPr>
        <w:t xml:space="preserve">                     </w:t>
      </w:r>
      <w:r>
        <w:rPr>
          <w:rFonts w:hint="eastAsia" w:ascii="仿宋_GB2312" w:hAnsi="宋体"/>
          <w:sz w:val="24"/>
        </w:rPr>
        <w:t>签订地点：</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1"/>
        </w:rPr>
      </w:pPr>
      <w:r>
        <w:rPr>
          <w:rFonts w:ascii="仿宋_GB2312" w:hAnsi="宋体"/>
          <w:sz w:val="24"/>
        </w:rPr>
        <w:t xml:space="preserve">    </w:t>
      </w:r>
      <w:r>
        <w:rPr>
          <w:rFonts w:hint="eastAsia" w:ascii="仿宋_GB2312" w:hAnsi="宋体"/>
          <w:sz w:val="21"/>
        </w:rPr>
        <w:t>根据《中华人民共和国经济合同法》及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t>______</w:t>
      </w:r>
      <w:r>
        <w:rPr>
          <w:rFonts w:hint="eastAsia" w:ascii="仿宋_GB2312" w:hAnsi="宋体"/>
          <w:sz w:val="21"/>
        </w:rPr>
        <w:t>年__月__日汕头大学医学院“</w:t>
      </w:r>
      <w:r>
        <w:rPr>
          <w:rFonts w:hint="eastAsia" w:ascii="华文仿宋" w:hAnsi="华文仿宋" w:eastAsia="华文仿宋"/>
          <w:sz w:val="21"/>
        </w:rPr>
        <w:t>医学仪器与办公设备______号</w:t>
      </w:r>
      <w:r>
        <w:rPr>
          <w:rFonts w:hint="eastAsia" w:ascii="仿宋_GB2312" w:hAnsi="宋体"/>
          <w:sz w:val="21"/>
        </w:rPr>
        <w:t>”招标文件和依据次文件产生的中标结果，经甲、乙双方平等协商，签订本合同。</w:t>
      </w:r>
    </w:p>
    <w:p>
      <w:pPr>
        <w:kinsoku w:val="0"/>
        <w:wordWrap w:val="0"/>
        <w:topLinePunct/>
        <w:spacing w:line="340" w:lineRule="exact"/>
        <w:rPr>
          <w:rFonts w:ascii="仿宋_GB2312" w:hAnsi="宋体"/>
          <w:sz w:val="21"/>
        </w:rPr>
      </w:pPr>
    </w:p>
    <w:p>
      <w:pPr>
        <w:numPr>
          <w:ilvl w:val="0"/>
          <w:numId w:val="9"/>
        </w:numPr>
        <w:kinsoku w:val="0"/>
        <w:wordWrap w:val="0"/>
        <w:topLinePunct/>
        <w:spacing w:line="340" w:lineRule="exact"/>
        <w:rPr>
          <w:rFonts w:ascii="仿宋_GB2312" w:hAnsi="宋体"/>
          <w:b/>
          <w:sz w:val="21"/>
        </w:rPr>
      </w:pPr>
      <w:r>
        <w:rPr>
          <w:rFonts w:hint="eastAsia" w:ascii="仿宋_GB2312" w:hAnsi="宋体"/>
          <w:b/>
          <w:sz w:val="21"/>
        </w:rPr>
        <w:t>设备或服务具体技术指标以供方投标书为准</w:t>
      </w:r>
    </w:p>
    <w:p>
      <w:pPr>
        <w:numPr>
          <w:ilvl w:val="0"/>
          <w:numId w:val="9"/>
        </w:numPr>
        <w:kinsoku w:val="0"/>
        <w:wordWrap w:val="0"/>
        <w:topLinePunct/>
        <w:spacing w:line="340" w:lineRule="exact"/>
        <w:rPr>
          <w:rFonts w:ascii="仿宋_GB2312" w:hAnsi="宋体"/>
          <w:b/>
          <w:sz w:val="21"/>
        </w:rPr>
      </w:pPr>
      <w:r>
        <w:rPr>
          <w:rFonts w:hint="eastAsia" w:ascii="仿宋_GB2312" w:hAnsi="宋体"/>
          <w:b/>
          <w:sz w:val="21"/>
        </w:rPr>
        <w:t>服务费用报价</w:t>
      </w:r>
    </w:p>
    <w:p>
      <w:pPr>
        <w:kinsoku w:val="0"/>
        <w:wordWrap w:val="0"/>
        <w:topLinePunct/>
        <w:spacing w:line="340" w:lineRule="exact"/>
        <w:ind w:firstLine="662" w:firstLineChars="253"/>
        <w:rPr>
          <w:rFonts w:ascii="仿宋_GB2312" w:hAnsi="宋体"/>
          <w:b/>
          <w:sz w:val="21"/>
        </w:rPr>
      </w:pPr>
      <w:r>
        <w:rPr>
          <w:rFonts w:hint="eastAsia" w:ascii="仿宋_GB2312" w:hAnsi="宋体"/>
          <w:b/>
          <w:sz w:val="21"/>
        </w:rPr>
        <w:t>1、服务报价：</w:t>
      </w:r>
    </w:p>
    <w:tbl>
      <w:tblPr>
        <w:tblStyle w:val="24"/>
        <w:tblW w:w="0" w:type="auto"/>
        <w:tblInd w:w="692" w:type="dxa"/>
        <w:tblLayout w:type="fixed"/>
        <w:tblCellMar>
          <w:top w:w="0" w:type="dxa"/>
          <w:left w:w="28" w:type="dxa"/>
          <w:bottom w:w="0" w:type="dxa"/>
          <w:right w:w="28" w:type="dxa"/>
        </w:tblCellMar>
      </w:tblPr>
      <w:tblGrid>
        <w:gridCol w:w="1328"/>
        <w:gridCol w:w="1031"/>
        <w:gridCol w:w="483"/>
        <w:gridCol w:w="468"/>
        <w:gridCol w:w="2323"/>
        <w:gridCol w:w="830"/>
        <w:gridCol w:w="1162"/>
      </w:tblGrid>
      <w:tr>
        <w:tblPrEx>
          <w:tblCellMar>
            <w:top w:w="0" w:type="dxa"/>
            <w:left w:w="28" w:type="dxa"/>
            <w:bottom w:w="0" w:type="dxa"/>
            <w:right w:w="28" w:type="dxa"/>
          </w:tblCellMar>
        </w:tblPrEx>
        <w:tc>
          <w:tcPr>
            <w:tcW w:w="1328" w:type="dxa"/>
            <w:tcBorders>
              <w:top w:val="single" w:color="auto" w:sz="12" w:space="0"/>
              <w:left w:val="single" w:color="auto" w:sz="12"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服务名称</w:t>
            </w:r>
          </w:p>
        </w:tc>
        <w:tc>
          <w:tcPr>
            <w:tcW w:w="1031"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类型</w:t>
            </w:r>
          </w:p>
        </w:tc>
        <w:tc>
          <w:tcPr>
            <w:tcW w:w="48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提供服务期限</w:t>
            </w:r>
          </w:p>
        </w:tc>
        <w:tc>
          <w:tcPr>
            <w:tcW w:w="830"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bl>
    <w:p>
      <w:pPr>
        <w:kinsoku w:val="0"/>
        <w:wordWrap w:val="0"/>
        <w:topLinePunct/>
        <w:spacing w:line="340" w:lineRule="exact"/>
        <w:rPr>
          <w:rFonts w:ascii="仿宋_GB2312" w:hAnsi="宋体"/>
          <w:b/>
          <w:sz w:val="21"/>
        </w:rPr>
      </w:pPr>
      <w:r>
        <w:rPr>
          <w:rFonts w:hint="eastAsia" w:ascii="仿宋_GB2312" w:hAnsi="宋体"/>
          <w:b/>
          <w:sz w:val="21"/>
        </w:rPr>
        <w:t xml:space="preserve">     2.设备报价</w:t>
      </w:r>
    </w:p>
    <w:p>
      <w:pPr>
        <w:kinsoku w:val="0"/>
        <w:wordWrap w:val="0"/>
        <w:topLinePunct/>
        <w:spacing w:line="340" w:lineRule="exact"/>
        <w:rPr>
          <w:rFonts w:ascii="仿宋_GB2312" w:hAnsi="宋体"/>
          <w:b/>
          <w:sz w:val="21"/>
        </w:rPr>
      </w:pPr>
      <w:r>
        <w:rPr>
          <w:rFonts w:hint="eastAsia" w:ascii="仿宋_GB2312" w:hAnsi="宋体"/>
          <w:b/>
          <w:sz w:val="21"/>
        </w:rPr>
        <w:t xml:space="preserve">     </w:t>
      </w:r>
    </w:p>
    <w:tbl>
      <w:tblPr>
        <w:tblStyle w:val="24"/>
        <w:tblW w:w="0" w:type="auto"/>
        <w:tblInd w:w="692" w:type="dxa"/>
        <w:tblLayout w:type="fixed"/>
        <w:tblCellMar>
          <w:top w:w="0" w:type="dxa"/>
          <w:left w:w="28" w:type="dxa"/>
          <w:bottom w:w="0" w:type="dxa"/>
          <w:right w:w="28" w:type="dxa"/>
        </w:tblCellMar>
      </w:tblPr>
      <w:tblGrid>
        <w:gridCol w:w="1328"/>
        <w:gridCol w:w="1031"/>
        <w:gridCol w:w="1173"/>
        <w:gridCol w:w="483"/>
        <w:gridCol w:w="468"/>
        <w:gridCol w:w="2323"/>
        <w:gridCol w:w="830"/>
        <w:gridCol w:w="1162"/>
      </w:tblGrid>
      <w:tr>
        <w:tblPrEx>
          <w:tblCellMar>
            <w:top w:w="0" w:type="dxa"/>
            <w:left w:w="28" w:type="dxa"/>
            <w:bottom w:w="0" w:type="dxa"/>
            <w:right w:w="28" w:type="dxa"/>
          </w:tblCellMar>
        </w:tblPrEx>
        <w:tc>
          <w:tcPr>
            <w:tcW w:w="1328" w:type="dxa"/>
            <w:tcBorders>
              <w:top w:val="single" w:color="auto" w:sz="12" w:space="0"/>
              <w:left w:val="single" w:color="auto" w:sz="12"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货物名称</w:t>
            </w:r>
          </w:p>
        </w:tc>
        <w:tc>
          <w:tcPr>
            <w:tcW w:w="1031"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型号</w:t>
            </w:r>
          </w:p>
        </w:tc>
        <w:tc>
          <w:tcPr>
            <w:tcW w:w="117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厂家及</w:t>
            </w:r>
          </w:p>
          <w:p>
            <w:pPr>
              <w:kinsoku w:val="0"/>
              <w:wordWrap w:val="0"/>
              <w:topLinePunct/>
              <w:spacing w:line="340" w:lineRule="exact"/>
              <w:jc w:val="center"/>
              <w:rPr>
                <w:rFonts w:ascii="仿宋_GB2312" w:hAnsi="宋体"/>
                <w:sz w:val="21"/>
              </w:rPr>
            </w:pPr>
            <w:r>
              <w:rPr>
                <w:rFonts w:hint="eastAsia" w:ascii="仿宋_GB2312" w:hAnsi="宋体"/>
                <w:sz w:val="21"/>
              </w:rPr>
              <w:t>产地</w:t>
            </w:r>
          </w:p>
        </w:tc>
        <w:tc>
          <w:tcPr>
            <w:tcW w:w="48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随机配件</w:t>
            </w:r>
          </w:p>
          <w:p>
            <w:pPr>
              <w:kinsoku w:val="0"/>
              <w:wordWrap w:val="0"/>
              <w:topLinePunct/>
              <w:spacing w:line="340" w:lineRule="exact"/>
              <w:jc w:val="center"/>
              <w:rPr>
                <w:rFonts w:ascii="仿宋_GB2312" w:hAnsi="宋体"/>
                <w:sz w:val="21"/>
              </w:rPr>
            </w:pPr>
            <w:r>
              <w:rPr>
                <w:rFonts w:hint="eastAsia" w:ascii="仿宋_GB2312" w:hAnsi="宋体"/>
                <w:sz w:val="21"/>
              </w:rPr>
              <w:t>(备用)工具</w:t>
            </w:r>
          </w:p>
        </w:tc>
        <w:tc>
          <w:tcPr>
            <w:tcW w:w="830"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rPr>
          <w:cantSplit/>
        </w:trPr>
        <w:tc>
          <w:tcPr>
            <w:tcW w:w="8798" w:type="dxa"/>
            <w:gridSpan w:val="8"/>
            <w:tcBorders>
              <w:top w:val="single" w:color="auto" w:sz="6" w:space="0"/>
              <w:left w:val="single" w:color="auto" w:sz="12" w:space="0"/>
              <w:bottom w:val="single" w:color="auto" w:sz="12" w:space="0"/>
              <w:right w:val="single" w:color="auto" w:sz="12" w:space="0"/>
            </w:tcBorders>
          </w:tcPr>
          <w:p>
            <w:pPr>
              <w:kinsoku w:val="0"/>
              <w:wordWrap w:val="0"/>
              <w:topLinePunct/>
              <w:spacing w:line="340" w:lineRule="exact"/>
              <w:rPr>
                <w:rFonts w:ascii="仿宋_GB2312" w:hAnsi="宋体"/>
                <w:sz w:val="21"/>
              </w:rPr>
            </w:pPr>
            <w:r>
              <w:rPr>
                <w:rFonts w:hint="eastAsia" w:ascii="仿宋_GB2312" w:hAnsi="宋体"/>
                <w:sz w:val="21"/>
              </w:rPr>
              <w:t>总金额（人民币）：</w:t>
            </w:r>
          </w:p>
        </w:tc>
      </w:tr>
    </w:tbl>
    <w:p>
      <w:pPr>
        <w:kinsoku w:val="0"/>
        <w:wordWrap w:val="0"/>
        <w:topLinePunct/>
        <w:spacing w:line="340" w:lineRule="exact"/>
        <w:rPr>
          <w:rFonts w:ascii="仿宋_GB2312" w:hAnsi="宋体"/>
          <w:b/>
          <w:sz w:val="21"/>
        </w:rPr>
      </w:pPr>
    </w:p>
    <w:p>
      <w:pPr>
        <w:kinsoku w:val="0"/>
        <w:wordWrap w:val="0"/>
        <w:topLinePunct/>
        <w:spacing w:line="340" w:lineRule="exact"/>
        <w:rPr>
          <w:rFonts w:ascii="仿宋_GB2312" w:hAnsi="宋体"/>
          <w:b/>
          <w:sz w:val="21"/>
        </w:rPr>
      </w:pPr>
    </w:p>
    <w:p>
      <w:pPr>
        <w:kinsoku w:val="0"/>
        <w:wordWrap w:val="0"/>
        <w:topLinePunct/>
        <w:spacing w:line="340" w:lineRule="exact"/>
        <w:rPr>
          <w:rFonts w:ascii="仿宋_GB2312" w:hAnsi="宋体"/>
          <w:b/>
          <w:sz w:val="21"/>
        </w:rPr>
      </w:pPr>
      <w:r>
        <w:rPr>
          <w:rFonts w:hint="eastAsia" w:ascii="仿宋_GB2312" w:hAnsi="宋体"/>
          <w:b/>
          <w:sz w:val="21"/>
        </w:rPr>
        <w:t>三. 设备质量要求及供方对质量负责的条件和期限（服务类项目由用户另行指定）：</w:t>
      </w:r>
    </w:p>
    <w:p>
      <w:pPr>
        <w:numPr>
          <w:ilvl w:val="0"/>
          <w:numId w:val="1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供方提供的设备必须符合中华人民共和国国家安全环保标准、教育部的有关规定以及该产品的出厂标准。</w:t>
      </w:r>
    </w:p>
    <w:p>
      <w:pPr>
        <w:numPr>
          <w:ilvl w:val="0"/>
          <w:numId w:val="1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供方提供的设备必须是全新的原装设备（含零部件、配件、随机工具等），表面无划伤、无碰撞。</w:t>
      </w:r>
    </w:p>
    <w:p>
      <w:pPr>
        <w:numPr>
          <w:ilvl w:val="0"/>
          <w:numId w:val="1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因设备的质量问题发生争议，由广东省或汕头市商检部门进行质量鉴定。设备符合质量标准的，鉴定费由需方承担；设备不符合质量标准的，鉴定费由供方承担。</w:t>
      </w:r>
    </w:p>
    <w:p>
      <w:pPr>
        <w:numPr>
          <w:ilvl w:val="0"/>
          <w:numId w:val="1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100%设备款。</w:t>
      </w:r>
    </w:p>
    <w:p>
      <w:pPr>
        <w:numPr>
          <w:ilvl w:val="0"/>
          <w:numId w:val="1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设备原厂保修期超过一年的，供方应按保修承诺提供保修服务。</w:t>
      </w:r>
    </w:p>
    <w:p>
      <w:pPr>
        <w:tabs>
          <w:tab w:val="left" w:pos="0"/>
        </w:tabs>
        <w:kinsoku w:val="0"/>
        <w:wordWrap w:val="0"/>
        <w:topLinePunct/>
        <w:spacing w:line="340" w:lineRule="exact"/>
        <w:ind w:left="498"/>
        <w:rPr>
          <w:rFonts w:ascii="仿宋_GB2312" w:hAnsi="宋体"/>
          <w:sz w:val="21"/>
        </w:rPr>
      </w:pPr>
    </w:p>
    <w:p>
      <w:pPr>
        <w:kinsoku w:val="0"/>
        <w:wordWrap w:val="0"/>
        <w:topLinePunct/>
        <w:spacing w:line="340" w:lineRule="exact"/>
        <w:ind w:left="567" w:hanging="567"/>
        <w:rPr>
          <w:rFonts w:ascii="仿宋_GB2312" w:hAnsi="宋体"/>
          <w:b/>
          <w:sz w:val="21"/>
        </w:rPr>
      </w:pPr>
      <w:r>
        <w:rPr>
          <w:rFonts w:hint="eastAsia" w:ascii="仿宋_GB2312" w:hAnsi="宋体"/>
          <w:b/>
          <w:sz w:val="21"/>
        </w:rPr>
        <w:t>四. 交货及验收（服务类项目由用户另行指定）：</w:t>
      </w:r>
    </w:p>
    <w:p>
      <w:pPr>
        <w:numPr>
          <w:ilvl w:val="0"/>
          <w:numId w:val="11"/>
        </w:numPr>
        <w:tabs>
          <w:tab w:val="left" w:pos="0"/>
        </w:tabs>
        <w:kinsoku w:val="0"/>
        <w:wordWrap w:val="0"/>
        <w:topLinePunct/>
        <w:spacing w:line="340" w:lineRule="exact"/>
        <w:ind w:left="830" w:hanging="332"/>
        <w:rPr>
          <w:rFonts w:ascii="仿宋_GB2312"/>
          <w:sz w:val="21"/>
        </w:rPr>
      </w:pPr>
      <w:r>
        <w:rPr>
          <w:rFonts w:hint="eastAsia" w:ascii="仿宋_GB2312"/>
          <w:sz w:val="21"/>
        </w:rPr>
        <w:t>竣工时间：合同签定后20天内。</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产品必须具备出厂合格证。</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供方应将所供设备的用户手册、保修手册、有关资料及配件、随机工具等交付给需方。</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交货地点：汕头大学医学院</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货物的验收：</w:t>
      </w:r>
    </w:p>
    <w:p>
      <w:pPr>
        <w:pStyle w:val="11"/>
        <w:tabs>
          <w:tab w:val="left" w:pos="0"/>
        </w:tabs>
        <w:kinsoku w:val="0"/>
        <w:wordWrap w:val="0"/>
        <w:topLinePunct/>
        <w:autoSpaceDE/>
        <w:spacing w:line="340" w:lineRule="exact"/>
        <w:ind w:left="830" w:firstLine="490"/>
        <w:rPr>
          <w:rFonts w:ascii="仿宋_GB2312" w:hAnsi="宋体" w:eastAsia="仿宋_GB2312"/>
          <w:sz w:val="21"/>
        </w:rPr>
      </w:pPr>
      <w:r>
        <w:rPr>
          <w:rFonts w:hint="eastAsia" w:ascii="仿宋_GB2312" w:hAnsi="宋体" w:eastAsia="仿宋_GB2312"/>
          <w:sz w:val="21"/>
        </w:rPr>
        <w:t>全部货物现场开封，设备在现场安装过程中，如发生与供货合同条款不符的设备，用户提出异议，供货商应无条件更换。</w:t>
      </w:r>
    </w:p>
    <w:p>
      <w:pPr>
        <w:pStyle w:val="11"/>
        <w:tabs>
          <w:tab w:val="left" w:pos="0"/>
        </w:tabs>
        <w:kinsoku w:val="0"/>
        <w:wordWrap w:val="0"/>
        <w:topLinePunct/>
        <w:autoSpaceDE/>
        <w:spacing w:line="340" w:lineRule="exact"/>
        <w:ind w:left="830" w:firstLine="490"/>
        <w:rPr>
          <w:rFonts w:ascii="仿宋_GB2312" w:hAnsi="宋体" w:eastAsia="仿宋_GB2312"/>
          <w:sz w:val="21"/>
        </w:rPr>
      </w:pPr>
      <w:r>
        <w:rPr>
          <w:rFonts w:hint="eastAsia" w:ascii="仿宋_GB2312" w:hAnsi="宋体" w:eastAsia="仿宋_GB2312"/>
          <w:sz w:val="21"/>
        </w:rPr>
        <w:t>其它验收细则以投标商在投标书中提供的设备技术资料及双方签订的合同条款为准。</w:t>
      </w:r>
    </w:p>
    <w:p>
      <w:pPr>
        <w:kinsoku w:val="0"/>
        <w:wordWrap w:val="0"/>
        <w:topLinePunct/>
        <w:spacing w:line="340" w:lineRule="exact"/>
        <w:ind w:left="567" w:hanging="567"/>
        <w:rPr>
          <w:rFonts w:ascii="仿宋_GB2312" w:hAnsi="宋体"/>
          <w:b/>
          <w:sz w:val="21"/>
        </w:rPr>
      </w:pPr>
      <w:r>
        <w:rPr>
          <w:rFonts w:hint="eastAsia" w:ascii="仿宋_GB2312" w:hAnsi="宋体"/>
          <w:b/>
          <w:sz w:val="21"/>
        </w:rPr>
        <w:t>五. 付款：</w:t>
      </w:r>
    </w:p>
    <w:p>
      <w:pPr>
        <w:kinsoku w:val="0"/>
        <w:wordWrap w:val="0"/>
        <w:topLinePunct/>
        <w:spacing w:line="340" w:lineRule="exact"/>
        <w:ind w:left="498" w:leftChars="150" w:firstLine="498"/>
        <w:rPr>
          <w:sz w:val="21"/>
        </w:rPr>
      </w:pPr>
      <w:r>
        <w:rPr>
          <w:rFonts w:hint="eastAsia"/>
          <w:sz w:val="21"/>
        </w:rPr>
        <w:t>货物或服务验收合格后一星期内付清全款。</w:t>
      </w:r>
    </w:p>
    <w:p>
      <w:pPr>
        <w:kinsoku w:val="0"/>
        <w:wordWrap w:val="0"/>
        <w:topLinePunct/>
        <w:spacing w:line="340" w:lineRule="exact"/>
        <w:ind w:left="567" w:hanging="567"/>
        <w:rPr>
          <w:rFonts w:ascii="仿宋_GB2312" w:hAnsi="宋体"/>
          <w:b/>
          <w:sz w:val="21"/>
        </w:rPr>
      </w:pPr>
      <w:r>
        <w:rPr>
          <w:rFonts w:hint="eastAsia" w:ascii="仿宋_GB2312" w:hAnsi="宋体"/>
          <w:b/>
          <w:sz w:val="21"/>
        </w:rPr>
        <w:t>六. 违约责任（服务类项目由用户另行指定）：</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供方未能交付设备，则向需方支付设备总金额5%的违约金。</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供方交付的设备不符合合同规定的，需方有权拒收，供方向需方支付货款总金额5%的违约金。</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需方无正当理由拒收设备，拒付货款的，需方向供方偿付设备总金额5%的违约金。</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供方逾期交付设备，则每日按合同总额3‰向对方偿付违约金。逾期交付超过15天，需方有权终止合同，则供方向需方偿付设备总金额</w:t>
      </w:r>
      <w:r>
        <w:rPr>
          <w:sz w:val="21"/>
        </w:rPr>
        <w:t>7.5%</w:t>
      </w:r>
      <w:r>
        <w:rPr>
          <w:rFonts w:hint="eastAsia"/>
          <w:sz w:val="21"/>
        </w:rPr>
        <w:t>的违约金</w:t>
      </w:r>
      <w:r>
        <w:rPr>
          <w:rFonts w:hint="eastAsia" w:ascii="仿宋_GB2312" w:hAnsi="宋体"/>
          <w:sz w:val="21"/>
        </w:rPr>
        <w:t>。</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需方逾期付款，则每日按合同总额3‰向供方偿付违约金。</w:t>
      </w:r>
    </w:p>
    <w:p>
      <w:pPr>
        <w:numPr>
          <w:ilvl w:val="0"/>
          <w:numId w:val="13"/>
        </w:numPr>
        <w:tabs>
          <w:tab w:val="left" w:pos="0"/>
          <w:tab w:val="left" w:pos="425"/>
        </w:tabs>
        <w:kinsoku w:val="0"/>
        <w:wordWrap w:val="0"/>
        <w:topLinePunct/>
        <w:spacing w:line="340" w:lineRule="exact"/>
        <w:ind w:left="830" w:hanging="332"/>
        <w:rPr>
          <w:rFonts w:ascii="仿宋_GB2312" w:hAnsi="宋体"/>
          <w:sz w:val="21"/>
        </w:rPr>
      </w:pPr>
    </w:p>
    <w:p>
      <w:pPr>
        <w:pStyle w:val="11"/>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七</w:t>
      </w:r>
      <w:r>
        <w:rPr>
          <w:rFonts w:ascii="仿宋_GB2312" w:hAnsi="宋体" w:eastAsia="仿宋_GB2312"/>
          <w:b/>
          <w:sz w:val="21"/>
        </w:rPr>
        <w:t>.</w:t>
      </w:r>
      <w:r>
        <w:rPr>
          <w:rFonts w:hint="eastAsia" w:ascii="仿宋_GB2312" w:hAnsi="宋体" w:eastAsia="仿宋_GB2312"/>
          <w:b/>
          <w:sz w:val="21"/>
        </w:rPr>
        <w:t>售后服务</w:t>
      </w:r>
    </w:p>
    <w:p>
      <w:pPr>
        <w:pStyle w:val="11"/>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八．技术支持及培训</w:t>
      </w:r>
    </w:p>
    <w:p>
      <w:pPr>
        <w:kinsoku w:val="0"/>
        <w:wordWrap w:val="0"/>
        <w:topLinePunct/>
        <w:spacing w:line="340" w:lineRule="exact"/>
        <w:ind w:left="567" w:hanging="567"/>
        <w:rPr>
          <w:rFonts w:ascii="仿宋_GB2312" w:hAnsi="宋体"/>
          <w:b/>
          <w:sz w:val="21"/>
        </w:rPr>
      </w:pPr>
      <w:r>
        <w:rPr>
          <w:rFonts w:hint="eastAsia" w:ascii="仿宋_GB2312" w:hAnsi="宋体"/>
          <w:b/>
          <w:sz w:val="21"/>
        </w:rPr>
        <w:t>九</w:t>
      </w:r>
      <w:r>
        <w:rPr>
          <w:rFonts w:ascii="仿宋_GB2312" w:hAnsi="宋体"/>
          <w:b/>
          <w:sz w:val="21"/>
        </w:rPr>
        <w:t xml:space="preserve">. </w:t>
      </w:r>
      <w:r>
        <w:rPr>
          <w:rFonts w:hint="eastAsia" w:ascii="仿宋_GB2312" w:hAnsi="宋体"/>
          <w:b/>
          <w:sz w:val="21"/>
        </w:rPr>
        <w:t>合同的仲裁</w:t>
      </w:r>
    </w:p>
    <w:p>
      <w:pPr>
        <w:pStyle w:val="14"/>
        <w:kinsoku w:val="0"/>
        <w:wordWrap w:val="0"/>
        <w:spacing w:line="340" w:lineRule="exact"/>
        <w:ind w:left="498" w:leftChars="150" w:firstLine="332"/>
        <w:rPr>
          <w:sz w:val="21"/>
        </w:rPr>
      </w:pPr>
      <w:r>
        <w:rPr>
          <w:rFonts w:hint="eastAsia"/>
          <w:sz w:val="21"/>
        </w:rPr>
        <w:t>本合同发生争议，由双方协商或调解解决，协商或调解不成时向签订合同所在地人民法院起诉。</w:t>
      </w:r>
    </w:p>
    <w:p>
      <w:pPr>
        <w:kinsoku w:val="0"/>
        <w:wordWrap w:val="0"/>
        <w:topLinePunct/>
        <w:spacing w:line="340" w:lineRule="exact"/>
        <w:jc w:val="right"/>
        <w:rPr>
          <w:rFonts w:ascii="仿宋_GB2312" w:hAnsi="宋体"/>
          <w:sz w:val="21"/>
        </w:rPr>
      </w:pPr>
      <w:r>
        <w:rPr>
          <w:rFonts w:ascii="仿宋_GB2312" w:hAnsi="宋体"/>
          <w:sz w:val="21"/>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甲方</w:t>
            </w:r>
            <w:r>
              <w:rPr>
                <w:rFonts w:hint="eastAsia" w:ascii="宋体" w:hAnsi="宋体" w:eastAsia="宋体"/>
                <w:sz w:val="18"/>
                <w:szCs w:val="18"/>
              </w:rPr>
              <w:t>（盖章）</w:t>
            </w:r>
            <w:r>
              <w:rPr>
                <w:rFonts w:ascii="宋体" w:hAnsi="宋体" w:eastAsia="宋体"/>
                <w:sz w:val="18"/>
                <w:szCs w:val="18"/>
              </w:rPr>
              <w:t>：</w:t>
            </w:r>
            <w:r>
              <w:rPr>
                <w:rFonts w:hint="eastAsia" w:ascii="宋体" w:hAnsi="宋体" w:eastAsia="宋体"/>
                <w:sz w:val="18"/>
                <w:szCs w:val="18"/>
              </w:rPr>
              <w:t>汕头大学医学院</w:t>
            </w:r>
          </w:p>
        </w:tc>
        <w:tc>
          <w:tcPr>
            <w:tcW w:w="4986" w:type="dxa"/>
            <w:vAlign w:val="center"/>
          </w:tcPr>
          <w:p>
            <w:pPr>
              <w:spacing w:line="276" w:lineRule="auto"/>
              <w:jc w:val="left"/>
              <w:rPr>
                <w:rFonts w:ascii="宋体" w:hAnsi="宋体" w:eastAsia="宋体" w:cs="ˎ̥"/>
                <w:sz w:val="18"/>
                <w:szCs w:val="18"/>
              </w:rPr>
            </w:pPr>
            <w:r>
              <w:rPr>
                <w:rFonts w:ascii="宋体" w:hAnsi="宋体" w:eastAsia="宋体"/>
                <w:sz w:val="18"/>
                <w:szCs w:val="18"/>
              </w:rPr>
              <w:t>乙方</w:t>
            </w:r>
            <w:r>
              <w:rPr>
                <w:rFonts w:hint="eastAsia" w:ascii="宋体" w:hAnsi="宋体" w:eastAsia="宋体"/>
                <w:sz w:val="18"/>
                <w:szCs w:val="18"/>
              </w:rPr>
              <w:t>（盖章）</w:t>
            </w:r>
            <w:r>
              <w:rPr>
                <w:rFonts w:ascii="宋体" w:hAnsi="宋体" w:eastAsia="宋体"/>
                <w:sz w:val="18"/>
                <w:szCs w:val="18"/>
              </w:rPr>
              <w:t>：</w:t>
            </w:r>
            <w:r>
              <w:rPr>
                <w:rFonts w:ascii="宋体" w:hAnsi="宋体" w:eastAsia="宋体" w:cs="ˎ̥"/>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地址：</w:t>
            </w:r>
            <w:r>
              <w:rPr>
                <w:rFonts w:hint="eastAsia" w:ascii="宋体" w:hAnsi="宋体" w:eastAsia="宋体"/>
                <w:sz w:val="18"/>
                <w:szCs w:val="18"/>
              </w:rPr>
              <w:t>汕头市金平区新陵路</w:t>
            </w:r>
            <w:r>
              <w:rPr>
                <w:rFonts w:ascii="宋体" w:hAnsi="宋体" w:eastAsia="宋体"/>
                <w:sz w:val="18"/>
                <w:szCs w:val="18"/>
              </w:rPr>
              <w:t>22号</w:t>
            </w:r>
          </w:p>
        </w:tc>
        <w:tc>
          <w:tcPr>
            <w:tcW w:w="4986" w:type="dxa"/>
            <w:vAlign w:val="center"/>
          </w:tcPr>
          <w:p>
            <w:pPr>
              <w:snapToGrid w:val="0"/>
              <w:spacing w:line="276" w:lineRule="auto"/>
              <w:jc w:val="left"/>
              <w:rPr>
                <w:rFonts w:ascii="宋体" w:hAnsi="宋体" w:eastAsia="宋体" w:cs="Courier New"/>
                <w:sz w:val="18"/>
                <w:szCs w:val="18"/>
              </w:rPr>
            </w:pPr>
            <w:r>
              <w:rPr>
                <w:rFonts w:ascii="宋体" w:hAnsi="宋体" w:eastAsia="宋体"/>
                <w:sz w:val="18"/>
                <w:szCs w:val="18"/>
              </w:rPr>
              <w:t>地址：</w:t>
            </w:r>
            <w:r>
              <w:rPr>
                <w:rFonts w:ascii="宋体" w:hAnsi="宋体" w:eastAsia="宋体" w:cs="Courier New"/>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r>
              <w:rPr>
                <w:rFonts w:hint="eastAsia" w:ascii="宋体" w:hAnsi="宋体" w:eastAsia="宋体"/>
                <w:sz w:val="18"/>
                <w:szCs w:val="18"/>
              </w:rPr>
              <w:t xml:space="preserve"> 谭学瑞</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电话：</w:t>
            </w:r>
            <w:r>
              <w:rPr>
                <w:rFonts w:hint="eastAsia" w:ascii="宋体" w:hAnsi="宋体" w:eastAsia="宋体"/>
                <w:sz w:val="18"/>
                <w:szCs w:val="18"/>
              </w:rPr>
              <w:t>0754-88900477</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传真：</w:t>
            </w:r>
            <w:r>
              <w:rPr>
                <w:rFonts w:hint="eastAsia" w:ascii="宋体" w:hAnsi="宋体" w:eastAsia="宋体"/>
                <w:sz w:val="18"/>
                <w:szCs w:val="18"/>
              </w:rPr>
              <w:t>0754-88900305</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仿宋_GB2312" w:hAnsi="宋体"/>
                <w:sz w:val="18"/>
                <w:szCs w:val="18"/>
              </w:rPr>
              <w:t>515041</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w:t>
            </w:r>
            <w:r>
              <w:rPr>
                <w:rFonts w:hint="eastAsia" w:ascii="仿宋_GB2312" w:hAnsi="宋体"/>
                <w:sz w:val="18"/>
                <w:szCs w:val="18"/>
              </w:rPr>
              <w:t>中行嘉泰支行</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r>
              <w:rPr>
                <w:rFonts w:hint="eastAsia" w:ascii="仿宋_GB2312" w:hAnsi="宋体"/>
                <w:sz w:val="18"/>
                <w:szCs w:val="18"/>
              </w:rPr>
              <w:t>7055 5774 4822</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统一社会信用代码：12440000455861456K</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r>
    </w:tbl>
    <w:p>
      <w:pPr>
        <w:kinsoku w:val="0"/>
        <w:wordWrap w:val="0"/>
        <w:topLinePunct/>
        <w:spacing w:line="360" w:lineRule="atLeast"/>
        <w:ind w:firstLine="186" w:firstLineChars="50"/>
        <w:rPr>
          <w:rFonts w:ascii="宋体" w:hAnsi="宋体" w:eastAsia="宋体"/>
          <w:b/>
          <w:sz w:val="32"/>
        </w:rPr>
      </w:pPr>
      <w:r>
        <w:rPr>
          <w:rFonts w:ascii="宋体" w:hAnsi="宋体" w:eastAsia="宋体"/>
          <w:b/>
          <w:sz w:val="32"/>
        </w:rPr>
        <w:br w:type="page"/>
      </w: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（投标人名称、地址）的名义投标。提交下述文件正本一份和副本一式五份。</w:t>
      </w:r>
    </w:p>
    <w:p>
      <w:pPr>
        <w:pStyle w:val="6"/>
        <w:numPr>
          <w:ilvl w:val="3"/>
          <w:numId w:val="14"/>
        </w:numPr>
        <w:kinsoku w:val="0"/>
        <w:wordWrap w:val="0"/>
        <w:topLinePunct/>
        <w:autoSpaceDE/>
        <w:autoSpaceDN/>
        <w:spacing w:line="200" w:lineRule="atLeast"/>
        <w:ind w:left="1912" w:hanging="584"/>
        <w:rPr>
          <w:rFonts w:ascii="仿宋_GB2312" w:hAnsi="宋体"/>
          <w:sz w:val="24"/>
        </w:rPr>
      </w:pPr>
      <w:r>
        <w:rPr>
          <w:rFonts w:hint="eastAsia" w:ascii="仿宋_GB2312" w:hAnsi="宋体"/>
          <w:sz w:val="24"/>
        </w:rPr>
        <w:t>投标书；</w:t>
      </w:r>
    </w:p>
    <w:p>
      <w:pPr>
        <w:pStyle w:val="6"/>
        <w:numPr>
          <w:ilvl w:val="3"/>
          <w:numId w:val="14"/>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开标一览表；</w:t>
      </w:r>
    </w:p>
    <w:p>
      <w:pPr>
        <w:pStyle w:val="6"/>
        <w:numPr>
          <w:ilvl w:val="3"/>
          <w:numId w:val="14"/>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设备配置一览表；</w:t>
      </w:r>
    </w:p>
    <w:p>
      <w:pPr>
        <w:pStyle w:val="6"/>
        <w:numPr>
          <w:ilvl w:val="3"/>
          <w:numId w:val="14"/>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我们愿意遵守招标人招标文件中的各项规定，供应符合“技术规范”所要求的设备，投标总报价为：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365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9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投标总报价</w:t>
            </w:r>
          </w:p>
        </w:tc>
        <w:tc>
          <w:tcPr>
            <w:tcW w:w="2656"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3652" w:type="dxa"/>
            <w:vAlign w:val="center"/>
          </w:tcPr>
          <w:p>
            <w:pPr>
              <w:kinsoku w:val="0"/>
              <w:wordWrap w:val="0"/>
              <w:topLinePunct/>
              <w:spacing w:line="360" w:lineRule="exact"/>
              <w:rPr>
                <w:rFonts w:ascii="仿宋_GB2312" w:hAnsi="宋体"/>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二</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三</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四</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五</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六</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七</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八</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ascii="宋体" w:hAnsi="宋体" w:eastAsia="宋体"/>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ascii="宋体" w:hAnsi="宋体" w:eastAsia="宋体"/>
        </w:rPr>
      </w:pPr>
    </w:p>
    <w:p>
      <w:pPr>
        <w:kinsoku w:val="0"/>
        <w:wordWrap w:val="0"/>
        <w:topLinePunct/>
        <w:ind w:left="851" w:hanging="851"/>
        <w:rPr>
          <w:rFonts w:ascii="仿宋_GB2312" w:hAnsi="宋体"/>
          <w:sz w:val="24"/>
        </w:rPr>
      </w:pPr>
      <w:r>
        <w:rPr>
          <w:rFonts w:hint="eastAsia" w:ascii="仿宋_GB2312" w:hAnsi="宋体"/>
          <w:sz w:val="24"/>
        </w:rPr>
        <w:t>致：汕头大学医学院：</w:t>
      </w:r>
    </w:p>
    <w:p>
      <w:pPr>
        <w:kinsoku w:val="0"/>
        <w:wordWrap w:val="0"/>
        <w:topLinePunct/>
        <w:ind w:firstLine="664"/>
        <w:rPr>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号（招标编号）招标书，我们同意招标文件中有关服务的要求，对所投的技术服务承诺如下服务：</w:t>
      </w: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r>
        <w:rPr>
          <w:rFonts w:hint="eastAsia"/>
          <w:sz w:val="24"/>
        </w:rPr>
        <w:t>特此承诺！</w:t>
      </w:r>
    </w:p>
    <w:p>
      <w:pPr>
        <w:kinsoku w:val="0"/>
        <w:wordWrap w:val="0"/>
        <w:topLinePunct/>
        <w:ind w:firstLine="664"/>
        <w:rPr>
          <w:sz w:val="24"/>
        </w:rPr>
      </w:pPr>
    </w:p>
    <w:p>
      <w:pPr>
        <w:kinsoku w:val="0"/>
        <w:wordWrap w:val="0"/>
        <w:topLinePunct/>
        <w:rPr>
          <w:rFonts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hint="eastAsia" w:ascii="仿宋_GB2312" w:hAnsi="宋体"/>
          <w:sz w:val="24"/>
        </w:rPr>
        <w:t xml:space="preserve">   </w:t>
      </w:r>
    </w:p>
    <w:p>
      <w:pPr>
        <w:kinsoku w:val="0"/>
        <w:wordWrap w:val="0"/>
        <w:topLinePunct/>
        <w:ind w:firstLine="735"/>
        <w:rPr>
          <w:rFonts w:ascii="仿宋_GB2312" w:hAnsi="宋体"/>
          <w:sz w:val="24"/>
        </w:rPr>
      </w:pPr>
      <w:r>
        <w:rPr>
          <w:rFonts w:hint="eastAsia" w:ascii="仿宋_GB2312" w:hAnsi="宋体"/>
          <w:sz w:val="24"/>
        </w:rPr>
        <w:t>地  址：</w:t>
      </w:r>
    </w:p>
    <w:p>
      <w:pPr>
        <w:kinsoku w:val="0"/>
        <w:wordWrap w:val="0"/>
        <w:topLinePunct/>
        <w:ind w:firstLine="735"/>
        <w:rPr>
          <w:rFonts w:ascii="仿宋_GB2312" w:hAnsi="宋体"/>
          <w:sz w:val="24"/>
        </w:rPr>
      </w:pPr>
      <w:r>
        <w:rPr>
          <w:rFonts w:hint="eastAsia" w:ascii="仿宋_GB2312" w:hAnsi="宋体"/>
          <w:sz w:val="24"/>
        </w:rPr>
        <w:t>邮  编：</w:t>
      </w:r>
    </w:p>
    <w:p>
      <w:pPr>
        <w:kinsoku w:val="0"/>
        <w:wordWrap w:val="0"/>
        <w:topLinePunct/>
        <w:ind w:firstLine="735"/>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ascii="仿宋_GB2312" w:hAnsi="宋体"/>
          <w:sz w:val="24"/>
        </w:rPr>
      </w:pPr>
      <w:r>
        <w:rPr>
          <w:rFonts w:ascii="仿宋_GB2312" w:hAnsi="宋体"/>
          <w:sz w:val="24"/>
        </w:rPr>
        <w:t xml:space="preserve"> </w:t>
      </w:r>
    </w:p>
    <w:p>
      <w:pPr>
        <w:kinsoku w:val="0"/>
        <w:wordWrap w:val="0"/>
        <w:topLinePunct/>
        <w:spacing w:after="180"/>
        <w:ind w:left="332" w:leftChars="100"/>
        <w:rPr>
          <w:rFonts w:ascii="仿宋_GB2312" w:hAnsi="宋体"/>
          <w:sz w:val="24"/>
        </w:rPr>
      </w:pPr>
    </w:p>
    <w:sectPr>
      <w:headerReference r:id="rId3" w:type="default"/>
      <w:footerReference r:id="rId4" w:type="default"/>
      <w:footerReference r:id="rId5"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昆仑楷体">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angal">
    <w:panose1 w:val="02040503050203030202"/>
    <w:charset w:val="00"/>
    <w:family w:val="roman"/>
    <w:pitch w:val="default"/>
    <w:sig w:usb0="00008003"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15</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1">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2">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4">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5">
    <w:nsid w:val="47A30B17"/>
    <w:multiLevelType w:val="singleLevel"/>
    <w:tmpl w:val="47A30B17"/>
    <w:lvl w:ilvl="0" w:tentative="0">
      <w:start w:val="1"/>
      <w:numFmt w:val="decimal"/>
      <w:lvlText w:val="%1."/>
      <w:lvlJc w:val="left"/>
      <w:pPr>
        <w:tabs>
          <w:tab w:val="left" w:pos="425"/>
        </w:tabs>
        <w:ind w:left="425" w:hanging="425"/>
      </w:pPr>
      <w:rPr>
        <w:rFonts w:hint="eastAsia"/>
      </w:rPr>
    </w:lvl>
  </w:abstractNum>
  <w:abstractNum w:abstractNumId="6">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8">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F3008B7"/>
    <w:multiLevelType w:val="singleLevel"/>
    <w:tmpl w:val="5F3008B7"/>
    <w:lvl w:ilvl="0" w:tentative="0">
      <w:start w:val="1"/>
      <w:numFmt w:val="decimal"/>
      <w:lvlText w:val="%1."/>
      <w:lvlJc w:val="left"/>
      <w:pPr>
        <w:tabs>
          <w:tab w:val="left" w:pos="425"/>
        </w:tabs>
        <w:ind w:left="425" w:hanging="425"/>
      </w:pPr>
      <w:rPr>
        <w:rFonts w:hint="eastAsia"/>
      </w:rPr>
    </w:lvl>
  </w:abstractNum>
  <w:abstractNum w:abstractNumId="10">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1">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12">
    <w:nsid w:val="7E2A564C"/>
    <w:multiLevelType w:val="singleLevel"/>
    <w:tmpl w:val="7E2A564C"/>
    <w:lvl w:ilvl="0" w:tentative="0">
      <w:start w:val="1"/>
      <w:numFmt w:val="decimal"/>
      <w:lvlText w:val="%1."/>
      <w:lvlJc w:val="left"/>
      <w:pPr>
        <w:tabs>
          <w:tab w:val="left" w:pos="425"/>
        </w:tabs>
        <w:ind w:left="425" w:hanging="425"/>
      </w:pPr>
      <w:rPr>
        <w:rFonts w:hint="eastAsia"/>
      </w:rPr>
    </w:lvl>
  </w:abstractNum>
  <w:num w:numId="1">
    <w:abstractNumId w:val="3"/>
  </w:num>
  <w:num w:numId="2">
    <w:abstractNumId w:val="2"/>
  </w:num>
  <w:num w:numId="3">
    <w:abstractNumId w:val="11"/>
  </w:num>
  <w:num w:numId="4">
    <w:abstractNumId w:val="4"/>
  </w:num>
  <w:num w:numId="5">
    <w:abstractNumId w:val="0"/>
  </w:num>
  <w:num w:numId="6">
    <w:abstractNumId w:val="7"/>
  </w:num>
  <w:num w:numId="7">
    <w:abstractNumId w:val="10"/>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num>
  <w:num w:numId="11">
    <w:abstractNumId w:val="9"/>
    <w:lvlOverride w:ilvl="0">
      <w:startOverride w:val="1"/>
    </w:lvlOverride>
  </w:num>
  <w:num w:numId="12">
    <w:abstractNumId w:val="12"/>
    <w:lvlOverride w:ilvl="0">
      <w:startOverride w:val="1"/>
    </w:lvlOverride>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66"/>
  <w:drawingGridVerticalSpacing w:val="381"/>
  <w:displayHorizont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MzQ1OTRlZTFhN2Y3OGU0MDU2MjdkYTkzYjE4NTIifQ=="/>
  </w:docVars>
  <w:rsids>
    <w:rsidRoot w:val="00A64781"/>
    <w:rsid w:val="0000204A"/>
    <w:rsid w:val="00003B22"/>
    <w:rsid w:val="00004020"/>
    <w:rsid w:val="00005041"/>
    <w:rsid w:val="000059AA"/>
    <w:rsid w:val="0001407A"/>
    <w:rsid w:val="00021081"/>
    <w:rsid w:val="000224C3"/>
    <w:rsid w:val="000231B0"/>
    <w:rsid w:val="00024209"/>
    <w:rsid w:val="00025FD5"/>
    <w:rsid w:val="00026985"/>
    <w:rsid w:val="00026A6C"/>
    <w:rsid w:val="00034FA8"/>
    <w:rsid w:val="000364E5"/>
    <w:rsid w:val="000401B7"/>
    <w:rsid w:val="00042E84"/>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77AB"/>
    <w:rsid w:val="000B6AED"/>
    <w:rsid w:val="000C16D3"/>
    <w:rsid w:val="000C3941"/>
    <w:rsid w:val="000C3B61"/>
    <w:rsid w:val="000C5975"/>
    <w:rsid w:val="000C7F51"/>
    <w:rsid w:val="000D41A5"/>
    <w:rsid w:val="000D470E"/>
    <w:rsid w:val="000D554F"/>
    <w:rsid w:val="000E0A87"/>
    <w:rsid w:val="000E18AC"/>
    <w:rsid w:val="000F1FE5"/>
    <w:rsid w:val="000F29B1"/>
    <w:rsid w:val="000F383B"/>
    <w:rsid w:val="00100CEC"/>
    <w:rsid w:val="0010379C"/>
    <w:rsid w:val="001066A2"/>
    <w:rsid w:val="00110AB1"/>
    <w:rsid w:val="001127F5"/>
    <w:rsid w:val="00112B75"/>
    <w:rsid w:val="001218F4"/>
    <w:rsid w:val="00121C8E"/>
    <w:rsid w:val="001242FE"/>
    <w:rsid w:val="00133325"/>
    <w:rsid w:val="001333F0"/>
    <w:rsid w:val="001342EA"/>
    <w:rsid w:val="001369AB"/>
    <w:rsid w:val="0014112B"/>
    <w:rsid w:val="00141FFF"/>
    <w:rsid w:val="001443B7"/>
    <w:rsid w:val="00152D5E"/>
    <w:rsid w:val="00164C72"/>
    <w:rsid w:val="001656D0"/>
    <w:rsid w:val="0017027B"/>
    <w:rsid w:val="001706C2"/>
    <w:rsid w:val="001716C2"/>
    <w:rsid w:val="001757AA"/>
    <w:rsid w:val="00181AD7"/>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27E9"/>
    <w:rsid w:val="001E4034"/>
    <w:rsid w:val="001E5CF1"/>
    <w:rsid w:val="001E610D"/>
    <w:rsid w:val="001E6289"/>
    <w:rsid w:val="001F0C7A"/>
    <w:rsid w:val="001F6C2C"/>
    <w:rsid w:val="001F7EAA"/>
    <w:rsid w:val="0020285D"/>
    <w:rsid w:val="002077D4"/>
    <w:rsid w:val="00213925"/>
    <w:rsid w:val="00213E67"/>
    <w:rsid w:val="00221E77"/>
    <w:rsid w:val="00224A9B"/>
    <w:rsid w:val="00226502"/>
    <w:rsid w:val="002545FB"/>
    <w:rsid w:val="0025483C"/>
    <w:rsid w:val="00262EA9"/>
    <w:rsid w:val="002643A4"/>
    <w:rsid w:val="002719DF"/>
    <w:rsid w:val="00273904"/>
    <w:rsid w:val="00277403"/>
    <w:rsid w:val="00277EDE"/>
    <w:rsid w:val="002805D1"/>
    <w:rsid w:val="002824BB"/>
    <w:rsid w:val="00282CB3"/>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E7C2B"/>
    <w:rsid w:val="002F4686"/>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46071"/>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522F"/>
    <w:rsid w:val="003B7E37"/>
    <w:rsid w:val="003C0A6C"/>
    <w:rsid w:val="003C0DF8"/>
    <w:rsid w:val="003C7190"/>
    <w:rsid w:val="003D0CE8"/>
    <w:rsid w:val="003D212B"/>
    <w:rsid w:val="003E0479"/>
    <w:rsid w:val="003E101C"/>
    <w:rsid w:val="003E4A17"/>
    <w:rsid w:val="003E4B96"/>
    <w:rsid w:val="003E73BA"/>
    <w:rsid w:val="003F19B6"/>
    <w:rsid w:val="003F1F33"/>
    <w:rsid w:val="003F5C69"/>
    <w:rsid w:val="003F632A"/>
    <w:rsid w:val="003F675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6041C"/>
    <w:rsid w:val="004605AF"/>
    <w:rsid w:val="0046157C"/>
    <w:rsid w:val="00464B10"/>
    <w:rsid w:val="00474F8D"/>
    <w:rsid w:val="00483252"/>
    <w:rsid w:val="00483D43"/>
    <w:rsid w:val="00485CF4"/>
    <w:rsid w:val="00487E57"/>
    <w:rsid w:val="0049387D"/>
    <w:rsid w:val="00493E3B"/>
    <w:rsid w:val="004966EF"/>
    <w:rsid w:val="00497654"/>
    <w:rsid w:val="00497859"/>
    <w:rsid w:val="004A041F"/>
    <w:rsid w:val="004A4A74"/>
    <w:rsid w:val="004A7DE2"/>
    <w:rsid w:val="004B38E5"/>
    <w:rsid w:val="004B638C"/>
    <w:rsid w:val="004C435A"/>
    <w:rsid w:val="004C661E"/>
    <w:rsid w:val="004D035D"/>
    <w:rsid w:val="004D2F20"/>
    <w:rsid w:val="004D7ED7"/>
    <w:rsid w:val="004E04F6"/>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87FDA"/>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C540F"/>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639F8"/>
    <w:rsid w:val="006704AF"/>
    <w:rsid w:val="00670B7C"/>
    <w:rsid w:val="00670DE8"/>
    <w:rsid w:val="006711BB"/>
    <w:rsid w:val="00671625"/>
    <w:rsid w:val="00675CF1"/>
    <w:rsid w:val="006763EE"/>
    <w:rsid w:val="006804DF"/>
    <w:rsid w:val="006A04CD"/>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2AAF"/>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6D80"/>
    <w:rsid w:val="007900DB"/>
    <w:rsid w:val="0079124E"/>
    <w:rsid w:val="00793B82"/>
    <w:rsid w:val="007A367B"/>
    <w:rsid w:val="007A7A03"/>
    <w:rsid w:val="007B14BF"/>
    <w:rsid w:val="007B6849"/>
    <w:rsid w:val="007C032B"/>
    <w:rsid w:val="007C12C5"/>
    <w:rsid w:val="007C4D09"/>
    <w:rsid w:val="007C7791"/>
    <w:rsid w:val="007C7B5F"/>
    <w:rsid w:val="007D1D44"/>
    <w:rsid w:val="007D6608"/>
    <w:rsid w:val="007D6E55"/>
    <w:rsid w:val="007D7AA4"/>
    <w:rsid w:val="007E0C40"/>
    <w:rsid w:val="007E0EE4"/>
    <w:rsid w:val="007E3ADF"/>
    <w:rsid w:val="007E49E9"/>
    <w:rsid w:val="007E6054"/>
    <w:rsid w:val="007E6345"/>
    <w:rsid w:val="007E782D"/>
    <w:rsid w:val="007F07C7"/>
    <w:rsid w:val="007F5DDD"/>
    <w:rsid w:val="007F5F99"/>
    <w:rsid w:val="00800E0C"/>
    <w:rsid w:val="00801DD9"/>
    <w:rsid w:val="008050A3"/>
    <w:rsid w:val="008104AF"/>
    <w:rsid w:val="00812D6A"/>
    <w:rsid w:val="00814906"/>
    <w:rsid w:val="008149BE"/>
    <w:rsid w:val="0081701A"/>
    <w:rsid w:val="00822FC8"/>
    <w:rsid w:val="00823EE5"/>
    <w:rsid w:val="00824CD0"/>
    <w:rsid w:val="0082596E"/>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5AAA"/>
    <w:rsid w:val="008C797F"/>
    <w:rsid w:val="008D297D"/>
    <w:rsid w:val="008D2C4D"/>
    <w:rsid w:val="008D3D23"/>
    <w:rsid w:val="008E3F55"/>
    <w:rsid w:val="008F5468"/>
    <w:rsid w:val="0090057C"/>
    <w:rsid w:val="0090162D"/>
    <w:rsid w:val="0090206E"/>
    <w:rsid w:val="00907A41"/>
    <w:rsid w:val="009125C9"/>
    <w:rsid w:val="00912E99"/>
    <w:rsid w:val="00913781"/>
    <w:rsid w:val="00915CEB"/>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01D1"/>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D74F7"/>
    <w:rsid w:val="009E1912"/>
    <w:rsid w:val="009E38B2"/>
    <w:rsid w:val="009E4853"/>
    <w:rsid w:val="009F4023"/>
    <w:rsid w:val="009F471B"/>
    <w:rsid w:val="009F7F9F"/>
    <w:rsid w:val="00A022D7"/>
    <w:rsid w:val="00A03D8C"/>
    <w:rsid w:val="00A0433B"/>
    <w:rsid w:val="00A054DC"/>
    <w:rsid w:val="00A071D5"/>
    <w:rsid w:val="00A16B56"/>
    <w:rsid w:val="00A209B6"/>
    <w:rsid w:val="00A21453"/>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197C"/>
    <w:rsid w:val="00A83FFA"/>
    <w:rsid w:val="00A85FDC"/>
    <w:rsid w:val="00A91508"/>
    <w:rsid w:val="00A91DA7"/>
    <w:rsid w:val="00A920C9"/>
    <w:rsid w:val="00A94887"/>
    <w:rsid w:val="00A94CF9"/>
    <w:rsid w:val="00A97A08"/>
    <w:rsid w:val="00AA08AC"/>
    <w:rsid w:val="00AA377F"/>
    <w:rsid w:val="00AA489E"/>
    <w:rsid w:val="00AA4A15"/>
    <w:rsid w:val="00AA5873"/>
    <w:rsid w:val="00AB3CF8"/>
    <w:rsid w:val="00AB5D27"/>
    <w:rsid w:val="00AB721A"/>
    <w:rsid w:val="00AC28F9"/>
    <w:rsid w:val="00AC2909"/>
    <w:rsid w:val="00AC5155"/>
    <w:rsid w:val="00AD07F8"/>
    <w:rsid w:val="00AD1A9A"/>
    <w:rsid w:val="00AD3E2C"/>
    <w:rsid w:val="00AD74B5"/>
    <w:rsid w:val="00AE1E63"/>
    <w:rsid w:val="00AE7CC9"/>
    <w:rsid w:val="00AF42EA"/>
    <w:rsid w:val="00B00CE9"/>
    <w:rsid w:val="00B0145F"/>
    <w:rsid w:val="00B0233B"/>
    <w:rsid w:val="00B02641"/>
    <w:rsid w:val="00B053CF"/>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0EC"/>
    <w:rsid w:val="00B61194"/>
    <w:rsid w:val="00B6156F"/>
    <w:rsid w:val="00B67889"/>
    <w:rsid w:val="00B72ADD"/>
    <w:rsid w:val="00B77C24"/>
    <w:rsid w:val="00B87660"/>
    <w:rsid w:val="00B92C98"/>
    <w:rsid w:val="00BA1FA7"/>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BF522D"/>
    <w:rsid w:val="00C03506"/>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1A05"/>
    <w:rsid w:val="00CC52E4"/>
    <w:rsid w:val="00CC5394"/>
    <w:rsid w:val="00CC7A80"/>
    <w:rsid w:val="00CD177D"/>
    <w:rsid w:val="00CD2F19"/>
    <w:rsid w:val="00CD3221"/>
    <w:rsid w:val="00CD659D"/>
    <w:rsid w:val="00CD78CF"/>
    <w:rsid w:val="00CE10A8"/>
    <w:rsid w:val="00CE17B8"/>
    <w:rsid w:val="00CE1854"/>
    <w:rsid w:val="00CE1921"/>
    <w:rsid w:val="00CE2E27"/>
    <w:rsid w:val="00CE31C5"/>
    <w:rsid w:val="00CE46C2"/>
    <w:rsid w:val="00CE72AC"/>
    <w:rsid w:val="00CE7DC1"/>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1B18"/>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1A59"/>
    <w:rsid w:val="00ED3BF1"/>
    <w:rsid w:val="00ED50DD"/>
    <w:rsid w:val="00ED5DA5"/>
    <w:rsid w:val="00EE4D82"/>
    <w:rsid w:val="00EF0C99"/>
    <w:rsid w:val="00F030AC"/>
    <w:rsid w:val="00F043A6"/>
    <w:rsid w:val="00F04673"/>
    <w:rsid w:val="00F17BE0"/>
    <w:rsid w:val="00F2043C"/>
    <w:rsid w:val="00F22086"/>
    <w:rsid w:val="00F22587"/>
    <w:rsid w:val="00F23BA2"/>
    <w:rsid w:val="00F24623"/>
    <w:rsid w:val="00F24E2B"/>
    <w:rsid w:val="00F3037A"/>
    <w:rsid w:val="00F37D6D"/>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A7365"/>
    <w:rsid w:val="00FB1FA4"/>
    <w:rsid w:val="00FB2239"/>
    <w:rsid w:val="00FB2C8C"/>
    <w:rsid w:val="00FB4617"/>
    <w:rsid w:val="00FB598E"/>
    <w:rsid w:val="00FD56F9"/>
    <w:rsid w:val="00FD686F"/>
    <w:rsid w:val="00FE4459"/>
    <w:rsid w:val="00FE50F6"/>
    <w:rsid w:val="00FE7DC3"/>
    <w:rsid w:val="00FE7E5D"/>
    <w:rsid w:val="00FF10DB"/>
    <w:rsid w:val="00FF1FB7"/>
    <w:rsid w:val="00FF299B"/>
    <w:rsid w:val="00FF717A"/>
    <w:rsid w:val="0A1D0E2A"/>
    <w:rsid w:val="18D90DDD"/>
    <w:rsid w:val="19A32D57"/>
    <w:rsid w:val="33CD400D"/>
    <w:rsid w:val="3C7E7C5A"/>
    <w:rsid w:val="44A1597D"/>
    <w:rsid w:val="471637BF"/>
    <w:rsid w:val="498774ED"/>
    <w:rsid w:val="4B607184"/>
    <w:rsid w:val="535E1403"/>
    <w:rsid w:val="548E7BF1"/>
    <w:rsid w:val="682827B6"/>
    <w:rsid w:val="70100BA5"/>
    <w:rsid w:val="71337F96"/>
    <w:rsid w:val="783255D6"/>
    <w:rsid w:val="7E152A8F"/>
    <w:rsid w:val="7FC61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link w:val="98"/>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numPr>
        <w:ilvl w:val="0"/>
        <w:numId w:val="1"/>
      </w:numPr>
      <w:outlineLvl w:val="1"/>
    </w:pPr>
    <w:rPr>
      <w:b/>
      <w:bCs/>
    </w:rPr>
  </w:style>
  <w:style w:type="paragraph" w:styleId="4">
    <w:name w:val="heading 3"/>
    <w:basedOn w:val="1"/>
    <w:next w:val="1"/>
    <w:qFormat/>
    <w:uiPriority w:val="0"/>
    <w:pPr>
      <w:keepNext/>
      <w:numPr>
        <w:ilvl w:val="1"/>
        <w:numId w:val="2"/>
      </w:numPr>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qFormat/>
    <w:uiPriority w:val="0"/>
    <w:pPr>
      <w:shd w:val="clear" w:color="auto" w:fill="000080"/>
    </w:pPr>
  </w:style>
  <w:style w:type="paragraph" w:styleId="8">
    <w:name w:val="annotation text"/>
    <w:basedOn w:val="1"/>
    <w:link w:val="102"/>
    <w:semiHidden/>
    <w:qFormat/>
    <w:uiPriority w:val="0"/>
    <w:pPr>
      <w:jc w:val="left"/>
    </w:pPr>
  </w:style>
  <w:style w:type="paragraph" w:styleId="9">
    <w:name w:val="Body Text 3"/>
    <w:basedOn w:val="1"/>
    <w:qFormat/>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Plain Text"/>
    <w:basedOn w:val="1"/>
    <w:link w:val="100"/>
    <w:qFormat/>
    <w:uiPriority w:val="0"/>
    <w:rPr>
      <w:rFonts w:ascii="宋体" w:hAnsi="Courier New" w:eastAsia="宋体"/>
      <w:kern w:val="0"/>
      <w:sz w:val="24"/>
    </w:rPr>
  </w:style>
  <w:style w:type="paragraph" w:styleId="14">
    <w:name w:val="Body Text Indent 2"/>
    <w:basedOn w:val="1"/>
    <w:qFormat/>
    <w:uiPriority w:val="0"/>
    <w:pPr>
      <w:topLinePunct/>
      <w:spacing w:line="500" w:lineRule="exact"/>
      <w:ind w:firstLine="664"/>
    </w:pPr>
    <w:rPr>
      <w:rFonts w:ascii="仿宋_GB2312" w:hAnsi="宋体"/>
      <w:sz w:val="24"/>
    </w:rPr>
  </w:style>
  <w:style w:type="paragraph" w:styleId="15">
    <w:name w:val="Balloon Text"/>
    <w:basedOn w:val="1"/>
    <w:link w:val="104"/>
    <w:qFormat/>
    <w:uiPriority w:val="0"/>
    <w:rPr>
      <w:sz w:val="18"/>
      <w:szCs w:val="18"/>
    </w:rPr>
  </w:style>
  <w:style w:type="paragraph" w:styleId="16">
    <w:name w:val="footer"/>
    <w:basedOn w:val="1"/>
    <w:qFormat/>
    <w:uiPriority w:val="0"/>
    <w:pPr>
      <w:tabs>
        <w:tab w:val="center" w:pos="4153"/>
        <w:tab w:val="right" w:pos="8306"/>
      </w:tabs>
      <w:snapToGrid w:val="0"/>
      <w:jc w:val="left"/>
    </w:pPr>
    <w:rPr>
      <w:rFonts w:eastAsia="宋体"/>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9">
    <w:name w:val="Body Text Indent 3"/>
    <w:basedOn w:val="1"/>
    <w:qFormat/>
    <w:uiPriority w:val="0"/>
    <w:pPr>
      <w:ind w:firstLine="777"/>
    </w:pPr>
    <w:rPr>
      <w:rFonts w:ascii="楷体_GB2312" w:hAnsi="Arial Narrow" w:eastAsia="楷体_GB2312"/>
    </w:rPr>
  </w:style>
  <w:style w:type="paragraph" w:styleId="20">
    <w:name w:val="Body Text 2"/>
    <w:basedOn w:val="1"/>
    <w:qFormat/>
    <w:uiPriority w:val="0"/>
    <w:rPr>
      <w:rFonts w:ascii="Arial Narrow" w:hAnsi="Arial Narrow" w:eastAsia="楷体_GB2312"/>
      <w:sz w:val="21"/>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2">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23">
    <w:name w:val="annotation subject"/>
    <w:basedOn w:val="8"/>
    <w:next w:val="8"/>
    <w:link w:val="103"/>
    <w:qFormat/>
    <w:uiPriority w:val="0"/>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FollowedHyperlink"/>
    <w:basedOn w:val="26"/>
    <w:qFormat/>
    <w:uiPriority w:val="0"/>
    <w:rPr>
      <w:color w:val="800080"/>
      <w:u w:val="single"/>
    </w:rPr>
  </w:style>
  <w:style w:type="character" w:styleId="30">
    <w:name w:val="Emphasis"/>
    <w:basedOn w:val="26"/>
    <w:qFormat/>
    <w:uiPriority w:val="0"/>
    <w:rPr>
      <w:color w:val="CC0033"/>
    </w:rPr>
  </w:style>
  <w:style w:type="character" w:styleId="31">
    <w:name w:val="Hyperlink"/>
    <w:basedOn w:val="26"/>
    <w:qFormat/>
    <w:uiPriority w:val="0"/>
    <w:rPr>
      <w:color w:val="0000FF"/>
      <w:u w:val="single"/>
    </w:rPr>
  </w:style>
  <w:style w:type="character" w:styleId="32">
    <w:name w:val="annotation reference"/>
    <w:basedOn w:val="26"/>
    <w:semiHidden/>
    <w:qFormat/>
    <w:uiPriority w:val="0"/>
    <w:rPr>
      <w:sz w:val="21"/>
    </w:rPr>
  </w:style>
  <w:style w:type="character" w:customStyle="1" w:styleId="33">
    <w:name w:val="font141"/>
    <w:basedOn w:val="26"/>
    <w:qFormat/>
    <w:uiPriority w:val="0"/>
  </w:style>
  <w:style w:type="character" w:customStyle="1" w:styleId="34">
    <w:name w:val="style31"/>
    <w:basedOn w:val="26"/>
    <w:qFormat/>
    <w:uiPriority w:val="0"/>
    <w:rPr>
      <w:b/>
      <w:bCs/>
      <w:color w:val="A16601"/>
    </w:rPr>
  </w:style>
  <w:style w:type="character" w:customStyle="1" w:styleId="35">
    <w:name w:val="dct-tt"/>
    <w:basedOn w:val="26"/>
    <w:qFormat/>
    <w:uiPriority w:val="0"/>
    <w:rPr>
      <w:rFonts w:hint="default" w:ascii="Arial" w:hAnsi="Arial" w:cs="Arial"/>
    </w:rPr>
  </w:style>
  <w:style w:type="character" w:customStyle="1" w:styleId="36">
    <w:name w:val="style36"/>
    <w:basedOn w:val="26"/>
    <w:qFormat/>
    <w:uiPriority w:val="0"/>
  </w:style>
  <w:style w:type="character" w:customStyle="1" w:styleId="37">
    <w:name w:val="search_highlight2"/>
    <w:basedOn w:val="26"/>
    <w:qFormat/>
    <w:uiPriority w:val="0"/>
    <w:rPr>
      <w:rFonts w:hint="default" w:ascii="Arial" w:hAnsi="Arial" w:cs="Arial"/>
      <w:shd w:val="clear" w:color="auto" w:fill="FFFFB0"/>
    </w:rPr>
  </w:style>
  <w:style w:type="character" w:customStyle="1" w:styleId="38">
    <w:name w:val="style4"/>
    <w:basedOn w:val="26"/>
    <w:qFormat/>
    <w:uiPriority w:val="0"/>
  </w:style>
  <w:style w:type="character" w:customStyle="1" w:styleId="39">
    <w:name w:val="f141"/>
    <w:basedOn w:val="26"/>
    <w:qFormat/>
    <w:uiPriority w:val="0"/>
    <w:rPr>
      <w:b/>
      <w:bCs/>
      <w:sz w:val="21"/>
      <w:szCs w:val="21"/>
    </w:rPr>
  </w:style>
  <w:style w:type="character" w:customStyle="1" w:styleId="40">
    <w:name w:val="hei12b"/>
    <w:basedOn w:val="26"/>
    <w:qFormat/>
    <w:uiPriority w:val="0"/>
  </w:style>
  <w:style w:type="paragraph" w:customStyle="1" w:styleId="41">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42">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3">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4">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5">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7">
    <w:name w:val="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4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9">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0">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51">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52">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53">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4">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5">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6">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7">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8">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9">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60">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1">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62">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63">
    <w:name w:val="Char Char Char Char"/>
    <w:basedOn w:val="1"/>
    <w:qFormat/>
    <w:uiPriority w:val="0"/>
    <w:rPr>
      <w:rFonts w:eastAsia="宋体"/>
      <w:sz w:val="21"/>
    </w:rPr>
  </w:style>
  <w:style w:type="paragraph" w:customStyle="1" w:styleId="64">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5">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66">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7">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68">
    <w:name w:val="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69">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70">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1">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72">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73">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4">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75">
    <w:name w:val="列出段落1"/>
    <w:basedOn w:val="1"/>
    <w:qFormat/>
    <w:uiPriority w:val="0"/>
    <w:pPr>
      <w:suppressAutoHyphens/>
      <w:ind w:left="720"/>
      <w:jc w:val="left"/>
    </w:pPr>
    <w:rPr>
      <w:rFonts w:eastAsia="Times New Roman"/>
      <w:kern w:val="0"/>
      <w:sz w:val="24"/>
      <w:szCs w:val="24"/>
      <w:lang w:eastAsia="ar-SA"/>
    </w:rPr>
  </w:style>
  <w:style w:type="paragraph" w:customStyle="1" w:styleId="76">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7">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78">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79">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80">
    <w:name w:val="Standard"/>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81">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82">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3">
    <w:name w:val="UP标题3"/>
    <w:basedOn w:val="1"/>
    <w:qFormat/>
    <w:uiPriority w:val="0"/>
    <w:pPr>
      <w:spacing w:line="360" w:lineRule="auto"/>
      <w:ind w:firstLine="149" w:firstLineChars="149"/>
    </w:pPr>
    <w:rPr>
      <w:rFonts w:ascii="黑体" w:hAnsi="Calibri" w:eastAsia="黑体" w:cs="宋体"/>
      <w:szCs w:val="28"/>
    </w:rPr>
  </w:style>
  <w:style w:type="paragraph" w:customStyle="1" w:styleId="84">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5">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6">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87">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88">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89">
    <w:name w:val="列表段落1"/>
    <w:basedOn w:val="1"/>
    <w:qFormat/>
    <w:uiPriority w:val="34"/>
    <w:pPr>
      <w:ind w:firstLine="420" w:firstLineChars="200"/>
    </w:pPr>
    <w:rPr>
      <w:rFonts w:eastAsia="Times New Roman"/>
      <w:sz w:val="21"/>
      <w:szCs w:val="24"/>
    </w:rPr>
  </w:style>
  <w:style w:type="paragraph" w:customStyle="1" w:styleId="90">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91">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9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93">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94">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95">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96">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97">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character" w:customStyle="1" w:styleId="98">
    <w:name w:val="标题 1 字符"/>
    <w:basedOn w:val="26"/>
    <w:link w:val="2"/>
    <w:qFormat/>
    <w:uiPriority w:val="0"/>
    <w:rPr>
      <w:rFonts w:ascii="黑体" w:eastAsia="黑体"/>
      <w:sz w:val="60"/>
    </w:rPr>
  </w:style>
  <w:style w:type="character" w:customStyle="1" w:styleId="99">
    <w:name w:val="纯文本 Char"/>
    <w:qFormat/>
    <w:uiPriority w:val="0"/>
    <w:rPr>
      <w:rFonts w:ascii="宋体" w:hAnsi="Courier New"/>
      <w:sz w:val="24"/>
    </w:rPr>
  </w:style>
  <w:style w:type="character" w:customStyle="1" w:styleId="100">
    <w:name w:val="纯文本 字符"/>
    <w:basedOn w:val="26"/>
    <w:link w:val="13"/>
    <w:qFormat/>
    <w:uiPriority w:val="0"/>
    <w:rPr>
      <w:rFonts w:ascii="宋体" w:hAnsi="Courier New" w:cs="Courier New"/>
      <w:kern w:val="2"/>
      <w:sz w:val="21"/>
      <w:szCs w:val="21"/>
    </w:rPr>
  </w:style>
  <w:style w:type="paragraph" w:customStyle="1" w:styleId="101">
    <w:name w:val="Default"/>
    <w:qFormat/>
    <w:uiPriority w:val="0"/>
    <w:pPr>
      <w:autoSpaceDE w:val="0"/>
      <w:autoSpaceDN w:val="0"/>
      <w:adjustRightInd w:val="0"/>
    </w:pPr>
    <w:rPr>
      <w:rFonts w:ascii="Calibri" w:hAnsi="Calibri" w:eastAsia="宋体" w:cs="Calibri"/>
      <w:color w:val="000000"/>
      <w:sz w:val="24"/>
      <w:szCs w:val="24"/>
      <w:lang w:val="en-US" w:eastAsia="zh-CN" w:bidi="ar-SA"/>
    </w:rPr>
  </w:style>
  <w:style w:type="character" w:customStyle="1" w:styleId="102">
    <w:name w:val="批注文字 字符"/>
    <w:basedOn w:val="26"/>
    <w:link w:val="8"/>
    <w:semiHidden/>
    <w:qFormat/>
    <w:uiPriority w:val="0"/>
    <w:rPr>
      <w:rFonts w:eastAsia="仿宋_GB2312"/>
      <w:kern w:val="2"/>
      <w:sz w:val="28"/>
    </w:rPr>
  </w:style>
  <w:style w:type="character" w:customStyle="1" w:styleId="103">
    <w:name w:val="批注主题 字符"/>
    <w:basedOn w:val="102"/>
    <w:link w:val="23"/>
    <w:qFormat/>
    <w:uiPriority w:val="0"/>
    <w:rPr>
      <w:rFonts w:eastAsia="仿宋_GB2312"/>
      <w:b/>
      <w:bCs/>
      <w:kern w:val="2"/>
      <w:sz w:val="28"/>
    </w:rPr>
  </w:style>
  <w:style w:type="character" w:customStyle="1" w:styleId="104">
    <w:name w:val="批注框文本 字符"/>
    <w:basedOn w:val="26"/>
    <w:link w:val="1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设备招标.dot</Template>
  <Company>设备办</Company>
  <Pages>16</Pages>
  <Words>8236</Words>
  <Characters>8674</Characters>
  <Lines>72</Lines>
  <Paragraphs>20</Paragraphs>
  <TotalTime>2</TotalTime>
  <ScaleCrop>false</ScaleCrop>
  <LinksUpToDate>false</LinksUpToDate>
  <CharactersWithSpaces>9677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2022-04-13T04:03:00Z</dcterms:created>
  <dc:creator>许慰玲</dc:creator>
  <cp:lastModifiedBy>微笑</cp:lastModifiedBy>
  <cp:lastPrinted>2015-06-12T00:58:00Z</cp:lastPrinted>
  <dcterms:modified xsi:type="dcterms:W3CDTF">2022-09-08T06:47:05Z</dcterms:modified>
  <dc:title>广东省政府采购中心</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934F1E550E7746EE9C64EA344F72A47C</vt:lpwstr>
  </property>
</Properties>
</file>