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汕头大学·香港中文大学联合汕头国际眼科中心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设备调研信息表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附件2-1：市场调研报价一览表</w:t>
      </w:r>
    </w:p>
    <w:p>
      <w:pPr>
        <w:rPr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宋体" w:cs="Helvetica"/>
                <w:bCs/>
                <w:color w:val="FF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YLDY202312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眼科飞秒激光治疗仪（眼科激光手术系统）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方案总价（万元）：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（注：若供应商可同时供应几种设备，需另行填写方案总价，当同时存在几个方案总价时，可另起报价表填写。供应商亦可同时提供多品牌设备参与调研）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附件2-2：设备配套耗材报价一览表（如有）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</w:rPr>
            </w:pPr>
            <w:r>
              <w:rPr>
                <w:rFonts w:hint="eastAsia" w:ascii="Calibri" w:hAnsi="Calibri"/>
              </w:rPr>
              <w:t>产品药交ID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sz w:val="20"/>
                <w:szCs w:val="21"/>
              </w:rPr>
              <w:t>（试剂为人份）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单价（元）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附件2-3：设备市场调研表</w:t>
      </w:r>
      <w:r>
        <w:rPr>
          <w:rFonts w:hint="eastAsia"/>
          <w:b/>
          <w:sz w:val="18"/>
          <w:szCs w:val="18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设备调研编号：YLDY202312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8  </w:t>
      </w:r>
      <w:r>
        <w:rPr>
          <w:rFonts w:hint="eastAsia" w:asciiTheme="minorEastAsia" w:hAnsiTheme="minorEastAsia"/>
          <w:b/>
          <w:szCs w:val="21"/>
        </w:rPr>
        <w:t xml:space="preserve">                               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（如耗材较多，请填写至附件1-2、2-2）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其他单位成交记录：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(限2020-2022年，广东省内医院成交记录优先)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拟供货价格：      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（注：需原厂质保不低于3年）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             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2023年   月   日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附件2-4：设备性能配置参数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一、主要技术参数描述（针对本次性能配置要求提到的参数需做具体说明，其他能体现产品档次和先进性，重要参数用“▲”标注）：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二、配置描述：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（未包含在报价中的选配功能需另行标明，并注明该功能单价）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关于贵院发布的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color w:val="000000"/>
        </w:rPr>
        <w:t>项目（调研编号：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）的采购调研项目，我单位愿意参加调研工作并在此声明：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本单位对上述声明的真实性负责。如有虚假，将依法承担相应责任，任何法律和经济责任完全由我方负责。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    单位名称（盖章）：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</w:t>
      </w:r>
    </w:p>
    <w:p>
      <w:pPr>
        <w:spacing w:line="360" w:lineRule="auto"/>
        <w:ind w:left="210" w:leftChars="100" w:firstLine="105" w:firstLineChars="50"/>
        <w:jc w:val="right"/>
        <w:rPr>
          <w:rFonts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NjM2OWUwMzZjNzJjOGEyNjI0OWRmOTdhMTM0NWUifQ=="/>
  </w:docVars>
  <w:rsids>
    <w:rsidRoot w:val="00172A27"/>
    <w:rsid w:val="00172A27"/>
    <w:rsid w:val="0021772A"/>
    <w:rsid w:val="00222F9A"/>
    <w:rsid w:val="00287F45"/>
    <w:rsid w:val="00592AB5"/>
    <w:rsid w:val="005B5DEC"/>
    <w:rsid w:val="00661580"/>
    <w:rsid w:val="008F3ABF"/>
    <w:rsid w:val="00A3483F"/>
    <w:rsid w:val="00A53B47"/>
    <w:rsid w:val="00AD3972"/>
    <w:rsid w:val="00B7184C"/>
    <w:rsid w:val="00B96D6E"/>
    <w:rsid w:val="00B9792B"/>
    <w:rsid w:val="00CB7669"/>
    <w:rsid w:val="00D557F1"/>
    <w:rsid w:val="00E45549"/>
    <w:rsid w:val="0130155E"/>
    <w:rsid w:val="0196606A"/>
    <w:rsid w:val="029F3487"/>
    <w:rsid w:val="06796210"/>
    <w:rsid w:val="09A56BC2"/>
    <w:rsid w:val="0A235F9B"/>
    <w:rsid w:val="10375155"/>
    <w:rsid w:val="149E752B"/>
    <w:rsid w:val="152746C2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2E9657E0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3675C2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2C02191"/>
    <w:rsid w:val="53B75A57"/>
    <w:rsid w:val="56660AC6"/>
    <w:rsid w:val="570F5CFF"/>
    <w:rsid w:val="5B396C18"/>
    <w:rsid w:val="5D122869"/>
    <w:rsid w:val="616561FC"/>
    <w:rsid w:val="62B80AC5"/>
    <w:rsid w:val="631F4005"/>
    <w:rsid w:val="640C3E97"/>
    <w:rsid w:val="645212C1"/>
    <w:rsid w:val="647D4AC7"/>
    <w:rsid w:val="668764B2"/>
    <w:rsid w:val="68251D98"/>
    <w:rsid w:val="69014702"/>
    <w:rsid w:val="6B416B67"/>
    <w:rsid w:val="6C492C5E"/>
    <w:rsid w:val="6CA90D7F"/>
    <w:rsid w:val="6D2625D2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FB45-FFEB-4E66-9268-AC2C2C88F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1059</Words>
  <Characters>1114</Characters>
  <Lines>12</Lines>
  <Paragraphs>3</Paragraphs>
  <TotalTime>0</TotalTime>
  <ScaleCrop>false</ScaleCrop>
  <LinksUpToDate>false</LinksUpToDate>
  <CharactersWithSpaces>1504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WPS_1483428513</cp:lastModifiedBy>
  <dcterms:modified xsi:type="dcterms:W3CDTF">2023-04-28T10:06:29Z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1B0E13F8CE47406192F1B0AF49BD4B2C_13</vt:lpwstr>
  </property>
</Properties>
</file>