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w:t>
      </w:r>
      <w:r>
        <w:rPr>
          <w:rFonts w:hint="eastAsia" w:ascii="宋体" w:hAnsi="宋体" w:eastAsia="宋体"/>
          <w:sz w:val="44"/>
          <w:lang w:eastAsia="zh-CN"/>
        </w:rPr>
        <w:t>专业题库</w:t>
      </w:r>
      <w:r>
        <w:rPr>
          <w:rFonts w:hint="eastAsia" w:ascii="宋体" w:hAnsi="宋体" w:eastAsia="宋体"/>
          <w:sz w:val="44"/>
        </w:rPr>
        <w:t>招标项目</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5</w:t>
      </w:r>
      <w:r>
        <w:rPr>
          <w:rFonts w:ascii="宋体" w:hAnsi="宋体" w:eastAsia="宋体"/>
          <w:sz w:val="36"/>
        </w:rPr>
        <w:t xml:space="preserve"> </w:t>
      </w:r>
      <w:r>
        <w:rPr>
          <w:rFonts w:hint="eastAsia" w:ascii="宋体" w:hAnsi="宋体" w:eastAsia="宋体"/>
          <w:sz w:val="36"/>
        </w:rPr>
        <w:t>-</w:t>
      </w:r>
      <w:r>
        <w:rPr>
          <w:rFonts w:hint="eastAsia" w:ascii="宋体" w:hAnsi="宋体" w:eastAsia="宋体"/>
          <w:sz w:val="36"/>
          <w:lang w:val="en-US" w:eastAsia="zh-CN"/>
        </w:rPr>
        <w:t>6</w:t>
      </w:r>
    </w:p>
    <w:p>
      <w:pPr>
        <w:kinsoku w:val="0"/>
        <w:wordWrap w:val="0"/>
        <w:topLinePunct/>
        <w:ind w:firstLine="1494"/>
        <w:rPr>
          <w:rFonts w:hint="eastAsia" w:ascii="宋体" w:hAnsi="宋体" w:eastAsia="宋体" w:cs="Times New Roman"/>
          <w:sz w:val="36"/>
        </w:rPr>
      </w:pPr>
      <w:r>
        <w:rPr>
          <w:rFonts w:hint="eastAsia" w:ascii="宋体" w:hAnsi="宋体" w:eastAsia="宋体"/>
          <w:sz w:val="36"/>
        </w:rPr>
        <w:t>项目名</w:t>
      </w:r>
      <w:r>
        <w:rPr>
          <w:rFonts w:hint="eastAsia" w:ascii="宋体" w:hAnsi="宋体" w:eastAsia="宋体" w:cs="Times New Roman"/>
          <w:sz w:val="36"/>
        </w:rPr>
        <w:t>称：汕头大学医学院</w:t>
      </w:r>
      <w:r>
        <w:rPr>
          <w:rFonts w:hint="eastAsia" w:ascii="宋体" w:hAnsi="宋体" w:eastAsia="宋体" w:cs="Times New Roman"/>
          <w:sz w:val="36"/>
          <w:lang w:val="en-US" w:eastAsia="zh-CN"/>
        </w:rPr>
        <w:t>护理学本科题库</w:t>
      </w:r>
      <w:r>
        <w:rPr>
          <w:rFonts w:hint="eastAsia" w:ascii="宋体" w:hAnsi="宋体" w:eastAsia="宋体" w:cs="Times New Roman"/>
          <w:sz w:val="36"/>
        </w:rPr>
        <w:t>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3</w:t>
      </w:r>
      <w:r>
        <w:rPr>
          <w:rFonts w:hint="eastAsia" w:ascii="宋体" w:hAnsi="宋体" w:eastAsia="宋体"/>
          <w:sz w:val="44"/>
        </w:rPr>
        <w:t>．</w:t>
      </w:r>
      <w:r>
        <w:rPr>
          <w:rFonts w:hint="eastAsia" w:ascii="宋体" w:hAnsi="宋体" w:eastAsia="宋体"/>
          <w:sz w:val="44"/>
          <w:lang w:val="en-US" w:eastAsia="zh-CN"/>
        </w:rPr>
        <w:t>5</w:t>
      </w:r>
      <w:r>
        <w:rPr>
          <w:rFonts w:ascii="宋体" w:hAnsi="宋体" w:eastAsia="宋体"/>
          <w:sz w:val="44"/>
        </w:rPr>
        <w:t xml:space="preserve"> </w:t>
      </w:r>
      <w:r>
        <w:rPr>
          <w:rFonts w:hint="eastAsia" w:ascii="宋体" w:hAnsi="宋体" w:eastAsia="宋体"/>
          <w:sz w:val="44"/>
        </w:rPr>
        <w:t>.</w:t>
      </w:r>
      <w:r>
        <w:rPr>
          <w:rFonts w:hint="eastAsia" w:ascii="宋体" w:hAnsi="宋体" w:eastAsia="宋体"/>
          <w:sz w:val="44"/>
          <w:lang w:val="en-US" w:eastAsia="zh-CN"/>
        </w:rPr>
        <w:t>6</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宋体" w:eastAsia="宋体" w:cs="宋体"/>
          <w:b w:val="0"/>
          <w:bCs w:val="0"/>
          <w:sz w:val="21"/>
          <w:szCs w:val="21"/>
        </w:rPr>
        <w:t>汕头大学医学院</w:t>
      </w:r>
      <w:r>
        <w:rPr>
          <w:rFonts w:hint="eastAsia" w:ascii="宋体" w:hAnsi="宋体" w:eastAsia="宋体" w:cs="宋体"/>
          <w:b w:val="0"/>
          <w:bCs w:val="0"/>
          <w:sz w:val="21"/>
          <w:szCs w:val="21"/>
          <w:lang w:val="en-US" w:eastAsia="zh-CN"/>
        </w:rPr>
        <w:t>护理学本科题库</w:t>
      </w: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val="en-US" w:eastAsia="zh-CN"/>
        </w:rPr>
        <w:t>200000</w:t>
      </w:r>
      <w:r>
        <w:rPr>
          <w:rFonts w:hint="eastAsia" w:ascii="宋体" w:hAnsi="宋体" w:eastAsia="宋体" w:cs="宋体"/>
          <w:b w:val="0"/>
          <w:bCs w:val="0"/>
          <w:sz w:val="21"/>
          <w:szCs w:val="21"/>
        </w:rPr>
        <w:t>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3</w:t>
      </w:r>
      <w:r>
        <w:rPr>
          <w:rFonts w:hint="eastAsia" w:ascii="宋体" w:hAnsi="Arial Narrow" w:eastAsia="宋体"/>
          <w:b/>
          <w:bCs/>
          <w:i/>
          <w:iCs/>
          <w:sz w:val="24"/>
        </w:rPr>
        <w:t>年</w:t>
      </w:r>
      <w:r>
        <w:rPr>
          <w:rFonts w:hint="eastAsia" w:ascii="宋体" w:hAnsi="Arial Narrow" w:eastAsia="宋体"/>
          <w:b/>
          <w:bCs/>
          <w:i/>
          <w:iCs/>
          <w:sz w:val="24"/>
          <w:lang w:val="en-US" w:eastAsia="zh-CN"/>
        </w:rPr>
        <w:t xml:space="preserve"> 5</w:t>
      </w:r>
      <w:r>
        <w:rPr>
          <w:rFonts w:hint="eastAsia" w:ascii="宋体" w:hAnsi="Arial Narrow" w:eastAsia="宋体"/>
          <w:b/>
          <w:bCs/>
          <w:i/>
          <w:iCs/>
          <w:sz w:val="24"/>
        </w:rPr>
        <w:t>月</w:t>
      </w:r>
      <w:r>
        <w:rPr>
          <w:rFonts w:hint="eastAsia" w:ascii="宋体" w:hAnsi="Arial Narrow" w:eastAsia="宋体"/>
          <w:b/>
          <w:bCs/>
          <w:i/>
          <w:iCs/>
          <w:sz w:val="24"/>
          <w:lang w:val="en-US" w:eastAsia="zh-CN"/>
        </w:rPr>
        <w:t xml:space="preserve"> 16</w:t>
      </w:r>
      <w:bookmarkStart w:id="0" w:name="_GoBack"/>
      <w:bookmarkEnd w:id="0"/>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3"/>
      </w:pPr>
      <w:r>
        <w:rPr>
          <w:rFonts w:hint="eastAsia" w:ascii="宋体" w:eastAsia="宋体"/>
          <w:sz w:val="18"/>
        </w:rPr>
        <w:t xml:space="preserve">   2.</w:t>
      </w:r>
      <w:r>
        <w:rPr>
          <w:rFonts w:hint="eastAsia"/>
        </w:rPr>
        <w:t xml:space="preserve"> </w:t>
      </w:r>
      <w:r>
        <w:rPr>
          <w:rFonts w:hint="eastAsia"/>
          <w:sz w:val="21"/>
          <w:szCs w:val="21"/>
        </w:rPr>
        <w:t>评分表：</w:t>
      </w:r>
    </w:p>
    <w:p>
      <w:pPr>
        <w:pStyle w:val="21"/>
        <w:tabs>
          <w:tab w:val="left" w:pos="-166"/>
        </w:tabs>
        <w:kinsoku w:val="0"/>
        <w:wordWrap w:val="0"/>
        <w:topLinePunct/>
        <w:ind w:left="498" w:leftChars="150" w:firstLine="440" w:firstLineChars="190"/>
        <w:rPr>
          <w:rFonts w:ascii="宋体" w:eastAsia="宋体"/>
          <w:sz w:val="18"/>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91"/>
        <w:gridCol w:w="1780"/>
        <w:gridCol w:w="691"/>
        <w:gridCol w:w="79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评分项</w:t>
            </w:r>
          </w:p>
        </w:tc>
        <w:tc>
          <w:tcPr>
            <w:tcW w:w="5435" w:type="dxa"/>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价格部分</w:t>
            </w:r>
          </w:p>
        </w:tc>
        <w:tc>
          <w:tcPr>
            <w:tcW w:w="5435" w:type="dxa"/>
            <w:noWrap w:val="0"/>
            <w:vAlign w:val="top"/>
          </w:tcPr>
          <w:p>
            <w:pPr>
              <w:spacing w:line="360" w:lineRule="auto"/>
              <w:jc w:val="cente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技术部分</w:t>
            </w:r>
          </w:p>
        </w:tc>
        <w:tc>
          <w:tcPr>
            <w:tcW w:w="5435" w:type="dxa"/>
            <w:noWrap w:val="0"/>
            <w:vAlign w:val="top"/>
          </w:tcPr>
          <w:p>
            <w:pPr>
              <w:spacing w:line="360" w:lineRule="auto"/>
              <w:jc w:val="cente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Merge w:val="restart"/>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评分因素</w:t>
            </w: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793"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评分方式</w:t>
            </w:r>
          </w:p>
        </w:tc>
        <w:tc>
          <w:tcPr>
            <w:tcW w:w="5435"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技术规格偏离情况</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kern w:val="0"/>
                <w:sz w:val="24"/>
                <w:szCs w:val="24"/>
                <w:highlight w:val="none"/>
                <w:lang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w:t>
            </w:r>
            <w:r>
              <w:rPr>
                <w:rFonts w:hint="default" w:asciiTheme="minorEastAsia" w:hAnsiTheme="minorEastAsia" w:eastAsiaTheme="minorEastAsia" w:cstheme="minorEastAsia"/>
                <w:color w:val="000000" w:themeColor="text1"/>
                <w:kern w:val="0"/>
                <w:sz w:val="24"/>
                <w:szCs w:val="24"/>
                <w:highlight w:val="none"/>
                <w:lang w:eastAsia="zh-CN" w:bidi="ar-SA"/>
                <w14:textFill>
                  <w14:solidFill>
                    <w14:schemeClr w14:val="tx1"/>
                  </w14:solidFill>
                </w14:textFill>
              </w:rPr>
              <w:t>5</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专家打分</w:t>
            </w:r>
          </w:p>
        </w:tc>
        <w:tc>
          <w:tcPr>
            <w:tcW w:w="5435" w:type="dxa"/>
            <w:noWrap w:val="0"/>
            <w:vAlign w:val="center"/>
          </w:tcPr>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技术规格中</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，各项技术参数指标及要求全部满足的得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带</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号的重要技术条款，一项不符合或偏离的，</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扣</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；非</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号技术条款，一项不符合或偏离的，扣2分</w:t>
            </w:r>
            <w: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题库关键功能</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专家打分</w:t>
            </w:r>
          </w:p>
        </w:tc>
        <w:tc>
          <w:tcPr>
            <w:tcW w:w="5435" w:type="dxa"/>
            <w:noWrap w:val="0"/>
            <w:vAlign w:val="center"/>
          </w:tcPr>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为更好配合教学需要，题库应具备以下功能，</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1、题库应具有手机APP功能</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需提供护理学本科题库使用手册证明。</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2、题库在线版应具备软件著作权，需提供国家版权局颁发的软件著作权证明。</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为更好的配合考教分离，题库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考试考核题库和日常教学题库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两个题库</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4、试题题库应同时具有局域网版和在线版。</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5、题库应具备院校私有题库功能，且支持私有题库批量录入、深度标引功能。</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同时具备以上5个功能并提供相应证明，得1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分；具备2-4个功能，得</w:t>
            </w:r>
            <w: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分；其他情况不得分。</w:t>
            </w:r>
            <w:r>
              <w:rPr>
                <w:rFonts w:hint="eastAsia" w:asciiTheme="minorEastAsia" w:hAnsiTheme="minorEastAsia" w:eastAsiaTheme="minorEastAsia" w:cstheme="minorEastAsia"/>
                <w:color w:val="000000" w:themeColor="text1"/>
                <w:sz w:val="24"/>
                <w:szCs w:val="24"/>
                <w:highlight w:val="none"/>
                <w:lang w:val="en-US" w:eastAsia="zh-Hans"/>
                <w14:textFill>
                  <w14:solidFill>
                    <w14:schemeClr w14:val="tx1"/>
                  </w14:solidFill>
                </w14:textFill>
              </w:rPr>
              <w:t>供应商需同时提供题库版权所有方授权</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Hans"/>
                <w14:textFill>
                  <w14:solidFill>
                    <w14:schemeClr w14:val="tx1"/>
                  </w14:solidFill>
                </w14:textFill>
              </w:rPr>
              <w:t>不能提供不得分</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投标人综合实力</w:t>
            </w:r>
          </w:p>
        </w:tc>
        <w:tc>
          <w:tcPr>
            <w:tcW w:w="0" w:type="auto"/>
            <w:noWrap w:val="0"/>
            <w:vAlign w:val="center"/>
          </w:tcPr>
          <w:p>
            <w:pPr>
              <w:spacing w:line="360" w:lineRule="auto"/>
              <w:jc w:val="center"/>
              <w:rPr>
                <w:rFonts w:hint="default"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专家打分</w:t>
            </w:r>
          </w:p>
        </w:tc>
        <w:tc>
          <w:tcPr>
            <w:tcW w:w="5435" w:type="dxa"/>
            <w:noWrap w:val="0"/>
            <w:vAlign w:val="center"/>
          </w:tcPr>
          <w:p>
            <w:pPr>
              <w:pStyle w:val="103"/>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供应商20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至今（以项目合同签订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采购人为院校或医院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医药卫生类</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题库或考试辅导系统业绩证明进行评分，每提供</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个</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采购人的有效</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业绩证明得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w:t>
            </w:r>
          </w:p>
          <w:p>
            <w:pPr>
              <w:pStyle w:val="10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注：需提供相关证明材料的复印件并加盖供应商公章，不提供不得分。</w:t>
            </w:r>
          </w:p>
          <w:p>
            <w:pPr>
              <w:pStyle w:val="10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default"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需就</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护理</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专业题库考教融合使用方案举办专项</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培训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为保证培训</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质量，供应商需具备当地行政审批局颁发的办学培训许可证，培训内容为医学方向。需提供办学培训许可证复印件。</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可以提供得</w:t>
            </w:r>
            <w:r>
              <w:rPr>
                <w:rFonts w:hint="default" w:asciiTheme="minorEastAsia" w:hAnsiTheme="minorEastAsia" w:eastAsiaTheme="minorEastAsia" w:cstheme="minorEastAsia"/>
                <w:color w:val="000000" w:themeColor="text1"/>
                <w:sz w:val="24"/>
                <w:highlight w:val="none"/>
                <w:lang w:eastAsia="zh-Hans"/>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分</w:t>
            </w:r>
            <w:r>
              <w:rPr>
                <w:rFonts w:hint="default"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不提供不得分</w:t>
            </w:r>
            <w:r>
              <w:rPr>
                <w:rFonts w:hint="default" w:asciiTheme="minorEastAsia" w:hAnsiTheme="minorEastAsia" w:eastAsiaTheme="minorEastAsia" w:cstheme="minorEastAsia"/>
                <w:color w:val="000000" w:themeColor="text1"/>
                <w:sz w:val="24"/>
                <w:highlight w:val="none"/>
                <w:lang w:eastAsia="zh-Hans"/>
                <w14:textFill>
                  <w14:solidFill>
                    <w14:schemeClr w14:val="tx1"/>
                  </w14:solidFill>
                </w14:textFill>
              </w:rPr>
              <w:t>。</w:t>
            </w:r>
          </w:p>
          <w:p>
            <w:pPr>
              <w:pStyle w:val="103"/>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3"/>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需具备医学专业视频制作能力</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供应商20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至今（以项目合同签订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为多个</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医学</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院校或医院提供教学视频资源或在线开放课程</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业绩证明进行评分，每提供</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个</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采购人的有效</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业绩证明得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w:t>
            </w:r>
          </w:p>
          <w:p>
            <w:pPr>
              <w:pStyle w:val="10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3"/>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投标人参与制作医学类教学资源获得国家级精品教学资源立项进行评分</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每提供1个</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获得立项证明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w:t>
            </w:r>
          </w:p>
          <w:p>
            <w:pPr>
              <w:pStyle w:val="103"/>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注</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需完整提供服务方为投标人的业绩证明关键页</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立项证明</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p>
        </w:tc>
        <w:tc>
          <w:tcPr>
            <w:tcW w:w="2584" w:type="dxa"/>
            <w:gridSpan w:val="4"/>
            <w:noWrap w:val="0"/>
            <w:vAlign w:val="center"/>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商务部分</w:t>
            </w:r>
          </w:p>
        </w:tc>
        <w:tc>
          <w:tcPr>
            <w:tcW w:w="5435" w:type="dxa"/>
            <w:noWrap w:val="0"/>
            <w:vAlign w:val="top"/>
          </w:tcPr>
          <w:p>
            <w:pPr>
              <w:spacing w:line="360" w:lineRule="auto"/>
              <w:jc w:val="cente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restart"/>
            <w:noWrap w:val="0"/>
            <w:vAlign w:val="top"/>
          </w:tcPr>
          <w:p>
            <w:pPr>
              <w:spacing w:line="360" w:lineRule="auto"/>
              <w:ind w:left="10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评分因素</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79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评分方式</w:t>
            </w:r>
          </w:p>
        </w:tc>
        <w:tc>
          <w:tcPr>
            <w:tcW w:w="5435"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0" w:type="auto"/>
            <w:vMerge w:val="continue"/>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商务要求响应程度</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5</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投标人满足商务全部要求的得5分，每负偏离一项扣1分，扣完为止。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0" w:type="auto"/>
            <w:vMerge w:val="continue"/>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售后服务</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pP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2</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供应商需要在广东省内拥有在地服务中心，以便及时提供服务，需要提供服务中心联系方式、场地证明。</w:t>
            </w:r>
          </w:p>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可以提供相应资料得</w:t>
            </w: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分</w:t>
            </w:r>
            <w: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无法提供不得分。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0" w:type="auto"/>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3</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技术培训服务要求</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pP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3</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根据投标人提供的技术培训服务方案进行评审：</w:t>
            </w:r>
          </w:p>
          <w:p>
            <w:pPr>
              <w:pStyle w:val="7"/>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技术培训服务方案详细、完善、可行，得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w:t>
            </w:r>
          </w:p>
          <w:p>
            <w:pPr>
              <w:pStyle w:val="7"/>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技术培训服务方案较为详细、完善、可行，得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分；技术培训服务方案不够详细、完善、可行，得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分；不提供技术培训服务方案，不得分。</w:t>
            </w:r>
          </w:p>
        </w:tc>
      </w:tr>
    </w:tbl>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9"/>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20</w:t>
      </w:r>
      <w:r>
        <w:rPr>
          <w:rFonts w:hint="eastAsia" w:ascii="宋体" w:hAnsi="Arial Narrow" w:eastAsia="宋体"/>
          <w:b/>
          <w:sz w:val="32"/>
        </w:rPr>
        <w:t>0000元</w:t>
      </w:r>
    </w:p>
    <w:p>
      <w:pPr>
        <w:spacing w:line="420" w:lineRule="exact"/>
        <w:ind w:firstLine="584" w:firstLineChars="200"/>
        <w:rPr>
          <w:rFonts w:hint="eastAsia"/>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技术要求</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中，</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凡标注有“▲”的地方为重要条款，但不作为废标条款，请</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注意，必须实质性点对点响应；否则将严重影响技术评分。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（一）采购项目一览表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26"/>
        <w:gridCol w:w="1048"/>
        <w:gridCol w:w="2418"/>
        <w:gridCol w:w="239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t>序号</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需求内容</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服务期</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t>预算总价（万元）</w:t>
            </w:r>
          </w:p>
        </w:tc>
        <w:tc>
          <w:tcPr>
            <w:tcW w:w="0" w:type="auto"/>
            <w:noWrap w:val="0"/>
            <w:vAlign w:val="top"/>
          </w:tcPr>
          <w:p>
            <w:pPr>
              <w:spacing w:line="40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主要服务要求</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t>护理学本科题库</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sz w:val="24"/>
                <w:szCs w:val="24"/>
                <w:highlight w:val="none"/>
                <w:lang w:eastAsia="zh-Hans"/>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val="en-US" w:eastAsia="zh-Hans"/>
                <w14:textFill>
                  <w14:solidFill>
                    <w14:schemeClr w14:val="tx1"/>
                  </w14:solidFill>
                </w14:textFill>
              </w:rPr>
              <w:t>年</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p>
        </w:tc>
        <w:tc>
          <w:tcPr>
            <w:tcW w:w="0" w:type="auto"/>
            <w:noWrap w:val="0"/>
            <w:vAlign w:val="top"/>
          </w:tcPr>
          <w:p>
            <w:pPr>
              <w:spacing w:line="40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详见具体招标要求</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详细技术要求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一、护理专业题库要求</w:t>
      </w:r>
    </w:p>
    <w:p>
      <w:pPr>
        <w:ind w:firstLine="584" w:firstLineChars="200"/>
        <w:rPr>
          <w:rFonts w:hint="eastAsia" w:asciiTheme="minorEastAsia" w:hAnsiTheme="minorEastAsia" w:eastAsiaTheme="minorEastAsia" w:cstheme="minorEastAsia"/>
          <w:b w:val="0"/>
          <w:bCs w:val="0"/>
          <w:color w:val="000000" w:themeColor="text1"/>
          <w:sz w:val="24"/>
          <w:szCs w:val="24"/>
          <w:highlight w:val="none"/>
          <w:vertAlign w:val="baseli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vertAlign w:val="baseline"/>
          <w:lang w:val="zh-CN" w:eastAsia="zh-CN"/>
          <w14:textFill>
            <w14:solidFill>
              <w14:schemeClr w14:val="tx1"/>
            </w14:solidFill>
          </w14:textFill>
        </w:rPr>
        <w:t>产品需涵盖</w:t>
      </w:r>
      <w: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t>护理</w:t>
      </w:r>
      <w:r>
        <w:rPr>
          <w:rFonts w:hint="eastAsia" w:asciiTheme="minorEastAsia" w:hAnsiTheme="minorEastAsia" w:eastAsiaTheme="minorEastAsia" w:cstheme="minorEastAsia"/>
          <w:b w:val="0"/>
          <w:bCs w:val="0"/>
          <w:color w:val="000000" w:themeColor="text1"/>
          <w:sz w:val="24"/>
          <w:szCs w:val="24"/>
          <w:highlight w:val="none"/>
          <w:vertAlign w:val="baseline"/>
          <w:lang w:val="zh-CN" w:eastAsia="zh-CN"/>
          <w14:textFill>
            <w14:solidFill>
              <w14:schemeClr w14:val="tx1"/>
            </w14:solidFill>
          </w14:textFill>
        </w:rPr>
        <w:t>学科不低于</w:t>
      </w:r>
      <w:r>
        <w:rPr>
          <w:rFonts w:hint="eastAsia" w:asciiTheme="minorEastAsia" w:hAnsiTheme="minorEastAsia" w:eastAsiaTheme="minorEastAsia" w:cstheme="minorEastAsia"/>
          <w:b w:val="0"/>
          <w:bCs w:val="0"/>
          <w:color w:val="000000" w:themeColor="text1"/>
          <w:sz w:val="24"/>
          <w:szCs w:val="24"/>
          <w:highlight w:val="none"/>
          <w:vertAlign w:val="baseline"/>
          <w:lang w:val="en-US" w:eastAsia="zh-CN"/>
          <w14:textFill>
            <w14:solidFill>
              <w14:schemeClr w14:val="tx1"/>
            </w14:solidFill>
          </w14:textFill>
        </w:rPr>
        <w:t>19</w:t>
      </w:r>
      <w:r>
        <w:rPr>
          <w:rFonts w:hint="eastAsia" w:asciiTheme="minorEastAsia" w:hAnsiTheme="minorEastAsia" w:eastAsiaTheme="minorEastAsia" w:cstheme="minorEastAsia"/>
          <w:b w:val="0"/>
          <w:bCs w:val="0"/>
          <w:color w:val="000000" w:themeColor="text1"/>
          <w:sz w:val="24"/>
          <w:szCs w:val="24"/>
          <w:highlight w:val="none"/>
          <w:vertAlign w:val="baseline"/>
          <w:lang w:val="zh-CN" w:eastAsia="zh-CN"/>
          <w14:textFill>
            <w14:solidFill>
              <w14:schemeClr w14:val="tx1"/>
            </w14:solidFill>
          </w14:textFill>
        </w:rPr>
        <w:t>个学科。必须包含以下学科：健康评估、护理学导论、基础护理学、内科护理学、外科护理学、妇产科护理、儿科护理学、中医护理学、眼耳鼻咽喉口腔科护理学、精神科护理学、康复护理学、急危重症护理学、社区护理学、老年护理学、临床营养学、护理管理学、护理心理学、护理伦理学、护士人文修养。</w:t>
      </w:r>
    </w:p>
    <w:p>
      <w:pPr>
        <w:pStyle w:val="5"/>
        <w:ind w:left="0" w:firstLine="584"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2.护理题库总题量不少于9万道，以下各学科不少于标注题量。</w:t>
      </w:r>
    </w:p>
    <w:tbl>
      <w:tblPr>
        <w:tblStyle w:val="26"/>
        <w:tblW w:w="4957" w:type="pct"/>
        <w:tblInd w:w="0" w:type="dxa"/>
        <w:tblLayout w:type="fixed"/>
        <w:tblCellMar>
          <w:top w:w="0" w:type="dxa"/>
          <w:left w:w="0" w:type="dxa"/>
          <w:bottom w:w="0" w:type="dxa"/>
          <w:right w:w="0" w:type="dxa"/>
        </w:tblCellMar>
      </w:tblPr>
      <w:tblGrid>
        <w:gridCol w:w="3467"/>
        <w:gridCol w:w="3211"/>
        <w:gridCol w:w="3133"/>
      </w:tblGrid>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b/>
                <w:sz w:val="24"/>
                <w:szCs w:val="24"/>
                <w:highlight w:val="none"/>
                <w:lang w:eastAsia="zh-Hans"/>
              </w:rPr>
            </w:pPr>
            <w:r>
              <w:rPr>
                <w:rFonts w:hint="eastAsia" w:ascii="宋体" w:hAnsi="宋体" w:eastAsia="宋体" w:cs="宋体"/>
                <w:b/>
                <w:sz w:val="24"/>
                <w:szCs w:val="24"/>
                <w:highlight w:val="none"/>
                <w:lang w:eastAsia="zh-Hans"/>
              </w:rPr>
              <w:t>学科</w:t>
            </w:r>
          </w:p>
        </w:tc>
        <w:tc>
          <w:tcPr>
            <w:tcW w:w="1636"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b/>
                <w:sz w:val="24"/>
                <w:szCs w:val="24"/>
                <w:highlight w:val="none"/>
                <w:lang w:eastAsia="zh-Hans"/>
              </w:rPr>
            </w:pPr>
            <w:r>
              <w:rPr>
                <w:rFonts w:hint="eastAsia" w:ascii="宋体" w:hAnsi="宋体" w:eastAsia="宋体" w:cs="宋体"/>
                <w:b/>
                <w:sz w:val="24"/>
                <w:szCs w:val="24"/>
                <w:highlight w:val="none"/>
                <w:lang w:eastAsia="zh-Hans"/>
              </w:rPr>
              <w:t>一类题库试题数</w:t>
            </w:r>
          </w:p>
        </w:tc>
        <w:tc>
          <w:tcPr>
            <w:tcW w:w="1596"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二类题库试题</w:t>
            </w:r>
            <w:r>
              <w:rPr>
                <w:rFonts w:hint="eastAsia" w:ascii="宋体" w:hAnsi="宋体" w:eastAsia="宋体" w:cs="宋体"/>
                <w:b/>
                <w:kern w:val="0"/>
                <w:sz w:val="24"/>
                <w:szCs w:val="24"/>
                <w:highlight w:val="none"/>
                <w:lang w:eastAsia="zh-Hans" w:bidi="ar"/>
              </w:rPr>
              <w:t>数</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健康评估</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6500</w:t>
            </w:r>
          </w:p>
        </w:tc>
      </w:tr>
      <w:tr>
        <w:trPr>
          <w:trHeight w:val="24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护理学导论</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9</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基础护理学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3000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9100</w:t>
            </w:r>
          </w:p>
        </w:tc>
      </w:tr>
      <w:tr>
        <w:tblPrEx>
          <w:tblCellMar>
            <w:top w:w="0" w:type="dxa"/>
            <w:left w:w="0" w:type="dxa"/>
            <w:bottom w:w="0" w:type="dxa"/>
            <w:right w:w="0" w:type="dxa"/>
          </w:tblCellMar>
        </w:tblPrEx>
        <w:trPr>
          <w:trHeight w:val="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内科护理学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6</w:t>
            </w: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外科护理学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9</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27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妇产科护理学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1500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儿科护理学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1500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4700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中医护理学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900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眼耳鼻咽喉口腔科护理学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1000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r>
      <w:tr>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精神科护理学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19</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康复护理学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600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1400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急危重症护理学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社区护理学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8</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老年护理学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8</w:t>
            </w:r>
            <w:r>
              <w:rPr>
                <w:rFonts w:hint="eastAsia" w:ascii="宋体" w:hAnsi="宋体" w:eastAsia="宋体" w:cs="宋体"/>
                <w:kern w:val="0"/>
                <w:sz w:val="24"/>
                <w:szCs w:val="24"/>
                <w:highlight w:val="none"/>
                <w:lang w:bidi="ar"/>
              </w:rPr>
              <w:t>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8</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临床营养学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2000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护理管理学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1800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护理心理学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600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护理伦理学</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护士人文修养</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00</w:t>
            </w:r>
          </w:p>
        </w:tc>
      </w:tr>
      <w:tr>
        <w:tblPrEx>
          <w:tblCellMar>
            <w:top w:w="0" w:type="dxa"/>
            <w:left w:w="0" w:type="dxa"/>
            <w:bottom w:w="0" w:type="dxa"/>
            <w:right w:w="0" w:type="dxa"/>
          </w:tblCellMar>
        </w:tblPrEx>
        <w:trPr>
          <w:trHeight w:val="333"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合计</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24700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bottom"/>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65500</w:t>
            </w:r>
          </w:p>
        </w:tc>
      </w:tr>
    </w:tbl>
    <w:p>
      <w:pPr>
        <w:bidi w:val="0"/>
        <w:jc w:val="left"/>
        <w:rPr>
          <w:rFonts w:hint="eastAsia" w:asciiTheme="minorEastAsia" w:hAnsiTheme="minorEastAsia" w:eastAsiaTheme="minorEastAsia" w:cstheme="minorEastAsia"/>
          <w:kern w:val="2"/>
          <w:sz w:val="21"/>
          <w:szCs w:val="24"/>
          <w:highlight w:val="none"/>
          <w:lang w:val="en-US" w:eastAsia="zh-CN" w:bidi="ar-SA"/>
        </w:rPr>
      </w:pPr>
    </w:p>
    <w:p>
      <w:pPr>
        <w:bidi w:val="0"/>
        <w:ind w:firstLine="584"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zh-CN" w:eastAsia="zh-CN"/>
        </w:rPr>
        <w:t>题库必须</w:t>
      </w:r>
      <w:r>
        <w:rPr>
          <w:rFonts w:hint="eastAsia" w:asciiTheme="minorEastAsia" w:hAnsiTheme="minorEastAsia" w:eastAsiaTheme="minorEastAsia" w:cstheme="minorEastAsia"/>
          <w:sz w:val="24"/>
          <w:szCs w:val="24"/>
          <w:highlight w:val="none"/>
          <w:lang w:val="zh-CN"/>
        </w:rPr>
        <w:t>具有软件著作权，有医学教育题库在线版计算机软件著作权登记证书。</w:t>
      </w:r>
    </w:p>
    <w:p>
      <w:pPr>
        <w:bidi w:val="0"/>
        <w:ind w:firstLine="584" w:firstLineChars="200"/>
        <w:rPr>
          <w:rFonts w:hint="eastAsia" w:asciiTheme="minorEastAsia" w:hAnsiTheme="minorEastAsia" w:eastAsiaTheme="minorEastAsia" w:cstheme="minorEastAsia"/>
          <w:sz w:val="24"/>
          <w:szCs w:val="24"/>
          <w:highlight w:val="none"/>
          <w:lang w:eastAsia="zh-Hans"/>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4.题库</w:t>
      </w:r>
      <w:r>
        <w:rPr>
          <w:rFonts w:hint="eastAsia" w:asciiTheme="minorEastAsia" w:hAnsiTheme="minorEastAsia" w:eastAsiaTheme="minorEastAsia" w:cstheme="minorEastAsia"/>
          <w:sz w:val="24"/>
          <w:szCs w:val="24"/>
          <w:highlight w:val="none"/>
          <w:lang w:val="en-US" w:eastAsia="zh-Hans"/>
        </w:rPr>
        <w:t>必须显示国家级标准</w:t>
      </w:r>
      <w:r>
        <w:rPr>
          <w:rFonts w:hint="eastAsia" w:asciiTheme="minorEastAsia" w:hAnsiTheme="minorEastAsia" w:eastAsiaTheme="minorEastAsia" w:cstheme="minorEastAsia"/>
          <w:sz w:val="24"/>
          <w:szCs w:val="24"/>
          <w:highlight w:val="none"/>
          <w:lang w:eastAsia="zh-Hans"/>
        </w:rPr>
        <w:t>，项目得到国家的支持，获得省部级财政资金。</w:t>
      </w:r>
      <w:r>
        <w:rPr>
          <w:rFonts w:hint="eastAsia" w:asciiTheme="minorEastAsia" w:hAnsiTheme="minorEastAsia" w:eastAsiaTheme="minorEastAsia" w:cstheme="minorEastAsia"/>
          <w:sz w:val="24"/>
          <w:szCs w:val="24"/>
          <w:highlight w:val="none"/>
          <w:lang w:val="en-US" w:eastAsia="zh-Hans"/>
        </w:rPr>
        <w:t>需提供证明文件</w:t>
      </w:r>
      <w:r>
        <w:rPr>
          <w:rFonts w:hint="eastAsia" w:asciiTheme="minorEastAsia" w:hAnsiTheme="minorEastAsia" w:eastAsiaTheme="minorEastAsia" w:cstheme="minorEastAsia"/>
          <w:sz w:val="24"/>
          <w:szCs w:val="24"/>
          <w:highlight w:val="none"/>
          <w:lang w:eastAsia="zh-Hans"/>
        </w:rPr>
        <w:t>。</w:t>
      </w:r>
    </w:p>
    <w:p>
      <w:pPr>
        <w:bidi w:val="0"/>
        <w:ind w:firstLine="584"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Hans"/>
        </w:rPr>
        <w:t>产品需有不少于30家医学院校参与评估和测试，并且需提供书面评测报告</w:t>
      </w:r>
      <w:r>
        <w:rPr>
          <w:rFonts w:hint="eastAsia" w:asciiTheme="minorEastAsia" w:hAnsiTheme="minorEastAsia" w:eastAsiaTheme="minorEastAsia" w:cstheme="minorEastAsia"/>
          <w:sz w:val="24"/>
          <w:szCs w:val="24"/>
          <w:highlight w:val="none"/>
          <w:lang w:val="zh-CN"/>
        </w:rPr>
        <w:t>。</w:t>
      </w:r>
    </w:p>
    <w:p>
      <w:pPr>
        <w:bidi w:val="0"/>
        <w:ind w:firstLine="584" w:firstLineChars="200"/>
        <w:rPr>
          <w:rFonts w:hint="eastAsia" w:asciiTheme="minorEastAsia" w:hAnsiTheme="minorEastAsia" w:eastAsiaTheme="minorEastAsia" w:cstheme="minorEastAsia"/>
          <w:sz w:val="24"/>
          <w:szCs w:val="24"/>
          <w:highlight w:val="none"/>
          <w:lang w:val="en-US" w:eastAsia="zh-Hans"/>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Hans"/>
        </w:rPr>
        <w:t>参与产品编写的机构不得低于60个。</w:t>
      </w:r>
    </w:p>
    <w:p>
      <w:pPr>
        <w:bidi w:val="0"/>
        <w:ind w:firstLine="584"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7.产品需区分为考试考核题库和日常教学题库两种，两种题库试题需完全分离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zh-CN"/>
        </w:rPr>
        <w:t>题库分类</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（一）一类题库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1.为教务管理部门提供终结性教学评价服务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2.经过充分测试，难度参数稳定可信</w:t>
      </w:r>
    </w:p>
    <w:p>
      <w:pPr>
        <w:tabs>
          <w:tab w:val="left" w:pos="0"/>
          <w:tab w:val="left" w:pos="284"/>
        </w:tabs>
        <w:adjustRightInd w:val="0"/>
        <w:snapToGrid w:val="0"/>
        <w:spacing w:line="360" w:lineRule="auto"/>
        <w:ind w:firstLine="584"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3.组织期末考试、护理学理论综合、毕业综合考试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4.开展</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执业</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资格模拟考试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（二）二类题库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1.为教师提供日常教学中的形成性评价服务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2.题型更丰富，覆盖学科更广泛，涵盖知识点更全面</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3.教师用于布置课前预习作业、开展课堂随堂测试、布置课后复习作业及制作课堂讲义，学生用于自学、自测、自评</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w:t>
      </w:r>
      <w:r>
        <w:rPr>
          <w:rFonts w:hint="eastAsia" w:asciiTheme="minorEastAsia" w:hAnsiTheme="minorEastAsia" w:eastAsiaTheme="minorEastAsia" w:cstheme="minorEastAsia"/>
          <w:color w:val="000000" w:themeColor="text1"/>
          <w:spacing w:val="0"/>
          <w:sz w:val="24"/>
          <w:szCs w:val="24"/>
          <w:highlight w:val="none"/>
          <w:lang w:val="zh-CN"/>
          <w14:textFill>
            <w14:solidFill>
              <w14:schemeClr w14:val="tx1"/>
            </w14:solidFill>
          </w14:textFill>
        </w:rPr>
        <w:t>针对资格考试知识薄弱环节</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，进行强化训练</w:t>
      </w:r>
    </w:p>
    <w:p>
      <w:pPr>
        <w:bidi w:val="0"/>
        <w:ind w:firstLine="584"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eastAsia="zh-Hans"/>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题库需要同时具备局域网版和在线版。</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Hans"/>
        </w:rPr>
        <w:t>.题库</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具备以下功能</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5"/>
        <w:gridCol w:w="3324"/>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局域网版</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在线版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手机APP操作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PC操作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院校私有题库功能</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可在在线版完成后，从在线版导入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私有题库试题编写录入功能</w:t>
            </w:r>
          </w:p>
        </w:tc>
        <w:tc>
          <w:tcPr>
            <w:tcW w:w="0" w:type="auto"/>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私有题库试题批量导入功能</w:t>
            </w:r>
          </w:p>
        </w:tc>
        <w:tc>
          <w:tcPr>
            <w:tcW w:w="0" w:type="auto"/>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私有题库深度标引功能</w:t>
            </w:r>
          </w:p>
        </w:tc>
        <w:tc>
          <w:tcPr>
            <w:tcW w:w="0" w:type="auto"/>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入库试题自动查重功能</w:t>
            </w: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私有试题单独组卷功能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私有题库与题库混合组卷功能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手动组卷功能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按条件自动组卷功能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，可由在线版导入试卷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试卷分析功能</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需回传在线版进行分析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成绩分析功能</w:t>
            </w:r>
          </w:p>
        </w:tc>
        <w:tc>
          <w:tcPr>
            <w:tcW w:w="0" w:type="auto"/>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试题分析功能</w:t>
            </w:r>
          </w:p>
        </w:tc>
        <w:tc>
          <w:tcPr>
            <w:tcW w:w="0" w:type="auto"/>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可视化评测报告功能（</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试题可导出PDF）</w:t>
            </w: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试卷授权功能（答题时间，成绩显示等设置）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试题收藏功能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机构错题库功能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试题防作弊PC客户端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主观题在线答题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主观题在线阅卷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PC端答题记录学生登录IP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题库功能分为考试考核题库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教师端功能、学生端功能，具体要求如下</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可独立分开使用，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能满足院校终结性评价（期中、期末考试等），用户</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考试考核题库试题</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2.考试管理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可发布、删除、修改考试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3.具有防作弊措施及查看答案设置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 数据导入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可导入院校在线版数据：包括试题、试卷、用户数据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 数据导出：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可导出考试答题数据，上传至在线版进行答题数据分析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可独立分开使用，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满足日常教学形成性评价（课堂测试、课后练习），满足院校不同使用场景，实现教考分离。用户</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可进行多种组卷策略、支持平台试题、私有题库独立组卷，也支持私有试题与平台试题混合组卷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（1）手动组卷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（4）组卷条件复用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2.考试、作业管理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可发布、删除、修改考试、作业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4.阅卷管理，客观题系统自动阅卷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5.考试、作业分析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可进行多维度的考试数据分析，能够图表可视化呈现。</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（1）成绩分析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（2）试卷分析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6.机构错题库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可将院校机构学生考试答题的错题进行汇总分析，图表可视化呈现，可以直观的了解各学科的薄弱环节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7.私有题库管理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院校可以组建院校私有题库，通过私有题库进行私有试题管理。支持单题在线录入，excel导入，提供试题查重功能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8.系统管理（管理员）</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（1）用户管理：支持excel批量导入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（2）权限管理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（3）组织机构管理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（4）角色管理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9.在线版数据导出到局域网版中</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包括用户数据、试题、试卷等，可打入到局域网版中使用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10.局域网版考试答题数据回传</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局域网版考试答题数据回传至在线版，可查看详细的考试分析结果</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（三）学生端功能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1.在线答题:包括考试、作业，其中作业支持多次作答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5.错题重做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6.答题统计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7.个人信息、密码管理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（四）教师端APP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教师端APP只针对</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，老师可通过APP进行组卷、发布作业、查看作业分析。这部分功能集成到教学平台中使用，题库不提供独立的APP，教学平台APP提供独立的题库模块，可以独立使用，也可以与教学平台其他模块融合使用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1.作业发布管理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新建、删除</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3.班级管理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（1）整体情况分析：包括作业完成情况，题目掌握情况，知识点掌握情况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（2）学生作答情况分析：可查看每个学生的作答情况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（五）学生端APP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学生端APP只针对</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1.在线答题:作业支持多次作答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5.错题重做</w:t>
      </w:r>
    </w:p>
    <w:p>
      <w:pPr>
        <w:pStyle w:val="12"/>
        <w:ind w:firstLine="584" w:firstLineChars="200"/>
        <w:rPr>
          <w:rFonts w:hint="eastAsia"/>
          <w:highlight w:val="none"/>
          <w:lang w:val="en-US" w:eastAsia="zh-CN"/>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6.个人信息、密码管理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考试考核题库命题计划需包括以下分类</w:t>
      </w:r>
    </w:p>
    <w:p>
      <w:pPr>
        <w:numPr>
          <w:ilvl w:val="255"/>
          <w:numId w:val="0"/>
        </w:numPr>
        <w:tabs>
          <w:tab w:val="left" w:pos="426"/>
        </w:tabs>
        <w:spacing w:line="360" w:lineRule="auto"/>
        <w:ind w:left="0" w:leftChars="0" w:firstLine="657" w:firstLineChars="225"/>
        <w:jc w:val="left"/>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知识点分类：</w:t>
      </w:r>
      <w:r>
        <w:rPr>
          <w:rFonts w:hint="eastAsia" w:asciiTheme="minorEastAsia" w:hAnsiTheme="minorEastAsia" w:eastAsiaTheme="minorEastAsia" w:cstheme="minorEastAsia"/>
          <w:color w:val="000000" w:themeColor="text1"/>
          <w:sz w:val="24"/>
          <w:szCs w:val="24"/>
          <w:highlight w:val="none"/>
          <w:shd w:val="clear"/>
          <w:lang w:val="zh-CN"/>
          <w14:textFill>
            <w14:solidFill>
              <w14:schemeClr w14:val="tx1"/>
            </w14:solidFill>
          </w14:textFill>
        </w:rPr>
        <w:t>教材</w:t>
      </w:r>
      <w:r>
        <w:rPr>
          <w:rFonts w:hint="eastAsia" w:asciiTheme="minorEastAsia" w:hAnsiTheme="minorEastAsia" w:eastAsiaTheme="minorEastAsia" w:cstheme="minorEastAsia"/>
          <w:color w:val="000000" w:themeColor="text1"/>
          <w:sz w:val="24"/>
          <w:szCs w:val="24"/>
          <w:highlight w:val="none"/>
          <w:shd w:val="clear"/>
          <w:lang w:val="en-US" w:eastAsia="zh-CN"/>
          <w14:textFill>
            <w14:solidFill>
              <w14:schemeClr w14:val="tx1"/>
            </w14:solidFill>
          </w14:textFill>
        </w:rPr>
        <w:t>大纲</w:t>
      </w:r>
      <w:r>
        <w:rPr>
          <w:rFonts w:hint="eastAsia" w:asciiTheme="minorEastAsia" w:hAnsiTheme="minorEastAsia" w:eastAsiaTheme="minorEastAsia" w:cstheme="minorEastAsia"/>
          <w:color w:val="000000" w:themeColor="text1"/>
          <w:sz w:val="24"/>
          <w:szCs w:val="24"/>
          <w:highlight w:val="none"/>
          <w:shd w:val="clear"/>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lang w:val="zh-CN" w:eastAsia="zh-CN"/>
          <w14:textFill>
            <w14:solidFill>
              <w14:schemeClr w14:val="tx1"/>
            </w14:solidFill>
          </w14:textFill>
        </w:rPr>
        <w:t>护士执业资格考试大纲</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知识分级：回忆、解释、问题解决</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难度分布：易、较易、中、较难、难</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题型分布：</w:t>
      </w:r>
      <w:r>
        <w:rPr>
          <w:rFonts w:hint="eastAsia" w:asciiTheme="minorEastAsia" w:hAnsiTheme="minorEastAsia" w:eastAsiaTheme="minorEastAsia" w:cstheme="minorEastAsia"/>
          <w:color w:val="000000"/>
          <w:sz w:val="24"/>
          <w:highlight w:val="none"/>
          <w:shd w:val="clear" w:color="auto" w:fill="FFFFFF"/>
        </w:rPr>
        <w:t>A、B、C、X、判断、名词解释、填空、简答、论述、合成、反应机理、英译汉、汉译英、阅读理解等</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大纲要求：掌握、熟悉、了解、超纲</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用户数量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学生不少于5000人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教师用户每学科不少于30人，总人数不超过480人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题库需要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以下手机APP功能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ab/>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5"/>
        <w:gridCol w:w="2191"/>
        <w:gridCol w:w="2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功能描述</w:t>
            </w:r>
          </w:p>
        </w:tc>
        <w:tc>
          <w:tcPr>
            <w:tcW w:w="10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p>
        </w:tc>
        <w:tc>
          <w:tcPr>
            <w:tcW w:w="10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手动组卷功能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智能组卷功能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新增作业功能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作业发布和授权功能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作业分析功能（作业基本信息、作答完成情况、每道试题作答情况、每道试题各个被选情况、章节知识点掌握情况）</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学生作答情况参看功能（已完成名单、未完成名单）</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关联班级功能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解除关联功能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作业作答功能</w:t>
            </w:r>
          </w:p>
        </w:tc>
        <w:tc>
          <w:tcPr>
            <w:tcW w:w="108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作业分析功能（作业满分、自己得分、当前平均分、总排名、班级排名、题型答题情况、章节答题情况）</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查看答案详情功能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分类错题列表功能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错题重组试卷功能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试题收藏功能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答题统计功能（个人总得分率、答题总数、答对总数、各学科答题统计、各学科章节答题情况）</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课程创建与管理</w:t>
            </w:r>
          </w:p>
        </w:tc>
        <w:tc>
          <w:tcPr>
            <w:tcW w:w="1087" w:type="pct"/>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互动讨论</w:t>
            </w:r>
          </w:p>
        </w:tc>
        <w:tc>
          <w:tcPr>
            <w:tcW w:w="1087"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kern w:val="0"/>
          <w:szCs w:val="21"/>
          <w:highlight w:val="none"/>
        </w:rPr>
        <w:t>局域网配置要求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8"/>
        <w:gridCol w:w="4294"/>
        <w:gridCol w:w="4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类别</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应用服务器</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数据库服务器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tcBorders>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内存</w:t>
            </w:r>
          </w:p>
        </w:tc>
        <w:tc>
          <w:tcPr>
            <w:tcW w:w="2130" w:type="pct"/>
            <w:tcBorders>
              <w:top w:val="single" w:color="auto" w:sz="4" w:space="0"/>
            </w:tcBorders>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32G及以上</w:t>
            </w:r>
          </w:p>
        </w:tc>
        <w:tc>
          <w:tcPr>
            <w:tcW w:w="2130" w:type="pct"/>
            <w:tcBorders>
              <w:top w:val="single" w:color="auto" w:sz="4" w:space="0"/>
            </w:tcBorders>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64G及以上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CPU</w:t>
            </w:r>
          </w:p>
        </w:tc>
        <w:tc>
          <w:tcPr>
            <w:tcW w:w="2130"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2.2GHz及以上</w:t>
            </w:r>
          </w:p>
        </w:tc>
        <w:tc>
          <w:tcPr>
            <w:tcW w:w="2130"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2.2GHz及以上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硬盘</w:t>
            </w:r>
          </w:p>
        </w:tc>
        <w:tc>
          <w:tcPr>
            <w:tcW w:w="2130"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硬盘空间512G及以上</w:t>
            </w:r>
          </w:p>
        </w:tc>
        <w:tc>
          <w:tcPr>
            <w:tcW w:w="2130"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固态硬盘512G及以上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操作系统</w:t>
            </w:r>
          </w:p>
        </w:tc>
        <w:tc>
          <w:tcPr>
            <w:tcW w:w="4261" w:type="pct"/>
            <w:gridSpan w:val="2"/>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&lt;500人：Windows Server 2012 或linux64位（内核CentOS7）</w:t>
            </w:r>
          </w:p>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&gt;500人：linux64位（内核CentOS7）</w:t>
            </w:r>
          </w:p>
        </w:tc>
      </w:tr>
    </w:tbl>
    <w:p>
      <w:pPr>
        <w:pStyle w:val="12"/>
        <w:rPr>
          <w:rFonts w:hint="eastAsia" w:asciiTheme="minorEastAsia" w:hAnsiTheme="minorEastAsia" w:eastAsiaTheme="minorEastAsia" w:cstheme="minorEastAsia"/>
          <w:highlight w:val="none"/>
        </w:rPr>
      </w:pP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9"/>
        <w:gridCol w:w="1641"/>
        <w:gridCol w:w="2977"/>
        <w:gridCol w:w="4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57" w:type="pct"/>
            <w:shd w:val="clear" w:color="auto" w:fill="D8D8D8"/>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用户数</w:t>
            </w:r>
          </w:p>
        </w:tc>
        <w:tc>
          <w:tcPr>
            <w:tcW w:w="856" w:type="pct"/>
            <w:shd w:val="clear" w:color="auto" w:fill="D8D8D8"/>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服务器数量</w:t>
            </w:r>
          </w:p>
        </w:tc>
        <w:tc>
          <w:tcPr>
            <w:tcW w:w="1518" w:type="pct"/>
            <w:shd w:val="clear" w:color="auto" w:fill="D8D8D8"/>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部署说明</w:t>
            </w:r>
          </w:p>
        </w:tc>
        <w:tc>
          <w:tcPr>
            <w:tcW w:w="2067" w:type="pct"/>
            <w:shd w:val="clear" w:color="auto" w:fill="D8D8D8"/>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需要部署的服务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57"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0-200</w:t>
            </w:r>
          </w:p>
        </w:tc>
        <w:tc>
          <w:tcPr>
            <w:tcW w:w="856"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应用服务器：1台</w:t>
            </w:r>
          </w:p>
        </w:tc>
        <w:tc>
          <w:tcPr>
            <w:tcW w:w="1518"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应用、组件及数据库部署在同一服务器上</w:t>
            </w:r>
          </w:p>
        </w:tc>
        <w:tc>
          <w:tcPr>
            <w:tcW w:w="2067"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单机版（tomcat、activemq、redis、mysql）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557"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200-499</w:t>
            </w:r>
          </w:p>
        </w:tc>
        <w:tc>
          <w:tcPr>
            <w:tcW w:w="856"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应用服务器：1台</w:t>
            </w:r>
          </w:p>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数据库服务器：1台</w:t>
            </w:r>
          </w:p>
        </w:tc>
        <w:tc>
          <w:tcPr>
            <w:tcW w:w="1518"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应用、组件1台服务器</w:t>
            </w:r>
          </w:p>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数据库、缓存1台服务器</w:t>
            </w:r>
          </w:p>
        </w:tc>
        <w:tc>
          <w:tcPr>
            <w:tcW w:w="2067" w:type="pct"/>
            <w:vAlign w:val="center"/>
          </w:tcPr>
          <w:p>
            <w:pPr>
              <w:pStyle w:val="12"/>
              <w:rPr>
                <w:rFonts w:hint="eastAsia" w:asciiTheme="minorEastAsia" w:hAnsiTheme="minorEastAsia" w:eastAsiaTheme="minorEastAsia" w:cstheme="minorEastAsia"/>
                <w:kern w:val="0"/>
                <w:sz w:val="28"/>
                <w:szCs w:val="18"/>
                <w:highlight w:val="none"/>
              </w:rPr>
            </w:pPr>
            <w:r>
              <w:rPr>
                <w:rFonts w:hint="eastAsia" w:asciiTheme="minorEastAsia" w:hAnsiTheme="minorEastAsia" w:eastAsiaTheme="minorEastAsia" w:cstheme="minorEastAsia"/>
                <w:kern w:val="0"/>
                <w:sz w:val="28"/>
                <w:szCs w:val="18"/>
                <w:highlight w:val="none"/>
              </w:rPr>
              <w:t>集群版（tomcat、activemq、redis、mysql、nginx）</w:t>
            </w:r>
          </w:p>
        </w:tc>
      </w:tr>
    </w:tbl>
    <w:p>
      <w:pPr>
        <w:pStyle w:val="12"/>
        <w:bidi w:val="0"/>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投标人综合实力要求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1.投标人须具有</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医药卫生类类</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题库或</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医药卫生类</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执业资格考试辅导系统服务经验，</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需要</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出示业绩证明。</w:t>
      </w:r>
    </w:p>
    <w:p>
      <w:pPr>
        <w:pStyle w:val="5"/>
        <w:spacing w:line="360" w:lineRule="auto"/>
        <w:ind w:left="0" w:leftChars="0" w:firstLine="584" w:firstLineChars="200"/>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投标人需就医学专业题库考教融合使用方案举办专项培训，为保证持续赋能培训效果，供应商需具备当地行政审批局颁发的办学培训许可证，培训内容为医学方向。需提供办学培训许可证复印件。</w:t>
      </w:r>
    </w:p>
    <w:p>
      <w:pPr>
        <w:pStyle w:val="5"/>
        <w:spacing w:line="360" w:lineRule="auto"/>
        <w:ind w:left="0" w:leftChars="0" w:firstLine="584" w:firstLineChars="200"/>
        <w:rPr>
          <w:rFonts w:hint="eastAsia" w:asciiTheme="minorEastAsia" w:hAnsiTheme="minorEastAsia" w:eastAsiaTheme="minorEastAsia" w:cstheme="minorEastAsia"/>
          <w:bCs w:val="0"/>
          <w:color w:val="000000" w:themeColor="text1"/>
          <w:sz w:val="24"/>
          <w:szCs w:val="24"/>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sz w:val="24"/>
          <w:szCs w:val="24"/>
          <w:highlight w:val="none"/>
          <w:lang w:eastAsia="zh-Hans"/>
          <w14:textFill>
            <w14:solidFill>
              <w14:schemeClr w14:val="tx1"/>
            </w14:solidFill>
          </w14:textFill>
        </w:rPr>
        <w:t>专业题库作为教学改革使用平台，为配合题库在教学中应用，投标人须提供成片30分钟医药类教学视频制作服务，投标人需具备医学专业视频、医学精品在线开放课程制作经验，且参与制作医学类教学资源获得国家级精品资源立项。</w:t>
      </w:r>
    </w:p>
    <w:p>
      <w:pPr>
        <w:pStyle w:val="4"/>
        <w:numPr>
          <w:ilvl w:val="0"/>
          <w:numId w:val="0"/>
        </w:numPr>
        <w:jc w:val="both"/>
        <w:rPr>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highlight w:val="none"/>
          <w:lang w:val="en-US" w:eastAsia="zh-CN" w:bidi="ar-SA"/>
          <w14:textFill>
            <w14:solidFill>
              <w14:schemeClr w14:val="tx1"/>
            </w14:solidFill>
          </w14:textFill>
        </w:rPr>
        <w:t>三、商务要求</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交货期：自成交通知书发出之日起</w:t>
      </w:r>
      <w: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t>30</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日历天内完成供货、调试完毕并交付验收。</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交货地点：按</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要求指定使用单位的所在地。</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付款方式：合同签订后，乙方将货物安装调试完毕，并通过甲方组织的验收合格后1个月内,甲方根据本合同支付全部货款到乙方账户。</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质量保证：为保证对客户的服务需求提供快速的响应，</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成交供应商</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应提供售后服务机构和人员的有关资料，包括：机构名称及地址、人员姓名及所属单位、地址、联系方式；货物经验收交付使用后，按行业标准进行质保。</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验收标准：</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交付验收标准依次序对照适用标准为：①符合中华人民共和国国家安全质量标准、环保标准或行业标准；②符合采购文件中技术参数及各项配置要求等；③货物来源国家官方标准。</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1)货物交货工作的10个工作日内，验收应在用户和成交供应商双方共同参加下进行。</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2)验收按国家有关的规定、规范进行。</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3)验收时如发现所交付的货物在实际使用验收过程中有质量问题或其它不符合采购文件规定之情形者，采购人应做出详尽的现场记录，或由用户和成交供应商双方签署备忘录。此现场记录或备忘录可用作货物不符合要求拒收或作为补充、缺失和更换损坏货物的有效证据。由此产生的后果及有关费用由成交供应商承担。</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售后服务：</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1)在免费质保期内，供应商接需方电话后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小时内响应，</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小时内答复，如无法沟通解决问题，需要</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48</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小时内到达现场维修，非采购人人为引起的故障一概由供应商负责并承担一切费用，免费保修期内因维修所延误时间顺延免费保修期。</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 xml:space="preserve">)供应商终身按优惠价向用户提供用于维修、保养的配件。 </w:t>
      </w:r>
    </w:p>
    <w:p>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)供应商需要</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在广东省内</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拥有在地服务中心，</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以便及时提供服务，需要</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提供服务中心联系方式、场地证明。</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asciiTheme="minorEastAsia" w:hAnsiTheme="minorEastAsia" w:eastAsiaTheme="minorEastAsia" w:cstheme="minorEastAsia"/>
          <w:b w:val="0"/>
          <w:bCs/>
          <w:color w:val="000000" w:themeColor="text1"/>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highlight w:val="none"/>
          <w:lang w:val="zh-CN" w:eastAsia="zh-CN" w:bidi="ar-SA"/>
          <w14:textFill>
            <w14:solidFill>
              <w14:schemeClr w14:val="tx1"/>
            </w14:solidFill>
          </w14:textFill>
        </w:rPr>
        <w:t>技术培训服务要求：</w:t>
      </w:r>
    </w:p>
    <w:p>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t>供应商提供详细技术资料并免费按需方要求进行技术培训。</w:t>
      </w:r>
    </w:p>
    <w:p>
      <w:pPr>
        <w:ind w:firstLine="584" w:firstLineChars="200"/>
        <w:rPr>
          <w:rFonts w:hint="default"/>
          <w:lang w:val="en-US"/>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t>培训的内容及方案应由双方协商制定。供方前来进行技术培训人员的费用包括在合同总价中。</w:t>
      </w:r>
    </w:p>
    <w:p>
      <w:pPr>
        <w:ind w:left="438" w:leftChars="132"/>
        <w:rPr>
          <w:rFonts w:ascii="宋体" w:hAnsi="宋体" w:eastAsia="宋体"/>
          <w:b/>
          <w:sz w:val="21"/>
          <w:szCs w:val="21"/>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6"/>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6"/>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2"/>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3"/>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3"/>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4"/>
        </w:numPr>
        <w:tabs>
          <w:tab w:val="left" w:pos="0"/>
          <w:tab w:val="left" w:pos="425"/>
        </w:tabs>
        <w:kinsoku w:val="0"/>
        <w:wordWrap w:val="0"/>
        <w:topLinePunct/>
        <w:spacing w:line="340" w:lineRule="exact"/>
        <w:ind w:left="830" w:hanging="332"/>
        <w:rPr>
          <w:rFonts w:ascii="仿宋_GB2312" w:hAnsi="宋体"/>
          <w:sz w:val="21"/>
        </w:rPr>
      </w:pPr>
    </w:p>
    <w:p>
      <w:pPr>
        <w:pStyle w:val="13"/>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3"/>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6"/>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8"/>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78992"/>
    <w:multiLevelType w:val="singleLevel"/>
    <w:tmpl w:val="EAF78992"/>
    <w:lvl w:ilvl="0" w:tentative="0">
      <w:start w:val="3"/>
      <w:numFmt w:val="decimal"/>
      <w:suff w:val="nothing"/>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6"/>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4"/>
  </w:num>
  <w:num w:numId="2">
    <w:abstractNumId w:val="3"/>
  </w:num>
  <w:num w:numId="3">
    <w:abstractNumId w:val="12"/>
  </w:num>
  <w:num w:numId="4">
    <w:abstractNumId w:val="5"/>
  </w:num>
  <w:num w:numId="5">
    <w:abstractNumId w:val="1"/>
  </w:num>
  <w:num w:numId="6">
    <w:abstractNumId w:val="8"/>
  </w:num>
  <w:num w:numId="7">
    <w:abstractNumId w:val="0"/>
  </w:num>
  <w:num w:numId="8">
    <w:abstractNumId w:val="1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0"/>
    <w:lvlOverride w:ilvl="0">
      <w:startOverride w:val="1"/>
    </w:lvlOverride>
  </w:num>
  <w:num w:numId="13">
    <w:abstractNumId w:val="13"/>
    <w:lvlOverride w:ilvl="0">
      <w:startOverride w:val="1"/>
    </w:lvlOverride>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29D3"/>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18D90DDD"/>
    <w:rsid w:val="19A32D57"/>
    <w:rsid w:val="23B035F1"/>
    <w:rsid w:val="33CD400D"/>
    <w:rsid w:val="3C7E7C5A"/>
    <w:rsid w:val="3CF76478"/>
    <w:rsid w:val="44A1597D"/>
    <w:rsid w:val="471637BF"/>
    <w:rsid w:val="498774ED"/>
    <w:rsid w:val="4B607184"/>
    <w:rsid w:val="535E1403"/>
    <w:rsid w:val="548E7BF1"/>
    <w:rsid w:val="682827B6"/>
    <w:rsid w:val="69102770"/>
    <w:rsid w:val="6FAD2AD5"/>
    <w:rsid w:val="70100BA5"/>
    <w:rsid w:val="71337F96"/>
    <w:rsid w:val="783255D6"/>
    <w:rsid w:val="7E152A8F"/>
    <w:rsid w:val="7E9F26E2"/>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link w:val="100"/>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5"/>
    <w:qFormat/>
    <w:uiPriority w:val="0"/>
    <w:pPr>
      <w:keepNext/>
      <w:numPr>
        <w:ilvl w:val="0"/>
        <w:numId w:val="1"/>
      </w:numPr>
      <w:outlineLvl w:val="1"/>
    </w:pPr>
    <w:rPr>
      <w:b/>
      <w:bCs/>
    </w:rPr>
  </w:style>
  <w:style w:type="paragraph" w:styleId="6">
    <w:name w:val="heading 3"/>
    <w:basedOn w:val="1"/>
    <w:next w:val="1"/>
    <w:qFormat/>
    <w:uiPriority w:val="0"/>
    <w:pPr>
      <w:keepNext/>
      <w:numPr>
        <w:ilvl w:val="1"/>
        <w:numId w:val="2"/>
      </w:numPr>
      <w:outlineLvl w:val="2"/>
    </w:pPr>
    <w:rPr>
      <w:b/>
      <w:bCs/>
    </w:rPr>
  </w:style>
  <w:style w:type="paragraph" w:styleId="7">
    <w:name w:val="heading 4"/>
    <w:basedOn w:val="1"/>
    <w:next w:val="1"/>
    <w:qFormat/>
    <w:uiPriority w:val="0"/>
    <w:pPr>
      <w:keepNext/>
      <w:outlineLvl w:val="3"/>
    </w:pPr>
    <w:rPr>
      <w:rFonts w:ascii="宋体" w:hAnsi="宋体" w:eastAsia="宋体"/>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Normal Indent"/>
    <w:basedOn w:val="1"/>
    <w:qFormat/>
    <w:uiPriority w:val="0"/>
    <w:pPr>
      <w:widowControl/>
      <w:ind w:left="720"/>
      <w:jc w:val="left"/>
    </w:pPr>
  </w:style>
  <w:style w:type="paragraph" w:styleId="8">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9">
    <w:name w:val="Document Map"/>
    <w:basedOn w:val="1"/>
    <w:semiHidden/>
    <w:qFormat/>
    <w:uiPriority w:val="0"/>
    <w:pPr>
      <w:shd w:val="clear" w:color="auto" w:fill="000080"/>
    </w:pPr>
  </w:style>
  <w:style w:type="paragraph" w:styleId="10">
    <w:name w:val="annotation text"/>
    <w:basedOn w:val="1"/>
    <w:link w:val="104"/>
    <w:semiHidden/>
    <w:qFormat/>
    <w:uiPriority w:val="0"/>
    <w:pPr>
      <w:jc w:val="left"/>
    </w:pPr>
  </w:style>
  <w:style w:type="paragraph" w:styleId="11">
    <w:name w:val="Body Text 3"/>
    <w:basedOn w:val="1"/>
    <w:qFormat/>
    <w:uiPriority w:val="0"/>
    <w:rPr>
      <w:rFonts w:eastAsia="楷体_GB2312"/>
      <w:sz w:val="24"/>
      <w:szCs w:val="27"/>
    </w:rPr>
  </w:style>
  <w:style w:type="paragraph" w:styleId="12">
    <w:name w:val="Body Text"/>
    <w:basedOn w:val="1"/>
    <w:next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3">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5">
    <w:name w:val="Plain Text"/>
    <w:basedOn w:val="1"/>
    <w:link w:val="102"/>
    <w:qFormat/>
    <w:uiPriority w:val="0"/>
    <w:rPr>
      <w:rFonts w:ascii="宋体" w:hAnsi="Courier New" w:eastAsia="宋体"/>
      <w:kern w:val="0"/>
      <w:sz w:val="24"/>
    </w:rPr>
  </w:style>
  <w:style w:type="paragraph" w:styleId="16">
    <w:name w:val="Body Text Indent 2"/>
    <w:basedOn w:val="1"/>
    <w:qFormat/>
    <w:uiPriority w:val="0"/>
    <w:pPr>
      <w:topLinePunct/>
      <w:spacing w:line="500" w:lineRule="exact"/>
      <w:ind w:firstLine="664"/>
    </w:pPr>
    <w:rPr>
      <w:rFonts w:ascii="仿宋_GB2312" w:hAnsi="宋体"/>
      <w:sz w:val="24"/>
    </w:rPr>
  </w:style>
  <w:style w:type="paragraph" w:styleId="17">
    <w:name w:val="Balloon Text"/>
    <w:basedOn w:val="1"/>
    <w:link w:val="106"/>
    <w:qFormat/>
    <w:uiPriority w:val="0"/>
    <w:rPr>
      <w:sz w:val="18"/>
      <w:szCs w:val="18"/>
    </w:rPr>
  </w:style>
  <w:style w:type="paragraph" w:styleId="18">
    <w:name w:val="footer"/>
    <w:basedOn w:val="1"/>
    <w:qFormat/>
    <w:uiPriority w:val="0"/>
    <w:pPr>
      <w:tabs>
        <w:tab w:val="center" w:pos="4153"/>
        <w:tab w:val="right" w:pos="8306"/>
      </w:tabs>
      <w:snapToGrid w:val="0"/>
      <w:jc w:val="left"/>
    </w:pPr>
    <w:rPr>
      <w:rFonts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1">
    <w:name w:val="Body Text Indent 3"/>
    <w:basedOn w:val="1"/>
    <w:qFormat/>
    <w:uiPriority w:val="0"/>
    <w:pPr>
      <w:ind w:firstLine="777"/>
    </w:pPr>
    <w:rPr>
      <w:rFonts w:ascii="楷体_GB2312" w:hAnsi="Arial Narrow" w:eastAsia="楷体_GB2312"/>
    </w:rPr>
  </w:style>
  <w:style w:type="paragraph" w:styleId="22">
    <w:name w:val="Body Text 2"/>
    <w:basedOn w:val="1"/>
    <w:qFormat/>
    <w:uiPriority w:val="0"/>
    <w:rPr>
      <w:rFonts w:ascii="Arial Narrow" w:hAnsi="Arial Narrow" w:eastAsia="楷体_GB2312"/>
      <w:sz w:val="21"/>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5">
    <w:name w:val="annotation subject"/>
    <w:basedOn w:val="10"/>
    <w:next w:val="10"/>
    <w:link w:val="105"/>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0"/>
    <w:rPr>
      <w:color w:val="CC0033"/>
    </w:rPr>
  </w:style>
  <w:style w:type="character" w:styleId="33">
    <w:name w:val="Hyperlink"/>
    <w:basedOn w:val="28"/>
    <w:qFormat/>
    <w:uiPriority w:val="0"/>
    <w:rPr>
      <w:color w:val="0000FF"/>
      <w:u w:val="single"/>
    </w:rPr>
  </w:style>
  <w:style w:type="character" w:styleId="34">
    <w:name w:val="annotation reference"/>
    <w:basedOn w:val="28"/>
    <w:semiHidden/>
    <w:qFormat/>
    <w:uiPriority w:val="0"/>
    <w:rPr>
      <w:sz w:val="21"/>
    </w:rPr>
  </w:style>
  <w:style w:type="character" w:customStyle="1" w:styleId="35">
    <w:name w:val="font141"/>
    <w:basedOn w:val="28"/>
    <w:qFormat/>
    <w:uiPriority w:val="0"/>
  </w:style>
  <w:style w:type="character" w:customStyle="1" w:styleId="36">
    <w:name w:val="style31"/>
    <w:basedOn w:val="28"/>
    <w:qFormat/>
    <w:uiPriority w:val="0"/>
    <w:rPr>
      <w:b/>
      <w:bCs/>
      <w:color w:val="A16601"/>
    </w:rPr>
  </w:style>
  <w:style w:type="character" w:customStyle="1" w:styleId="37">
    <w:name w:val="dct-tt"/>
    <w:basedOn w:val="28"/>
    <w:qFormat/>
    <w:uiPriority w:val="0"/>
    <w:rPr>
      <w:rFonts w:hint="default" w:ascii="Arial" w:hAnsi="Arial" w:cs="Arial"/>
    </w:rPr>
  </w:style>
  <w:style w:type="character" w:customStyle="1" w:styleId="38">
    <w:name w:val="style36"/>
    <w:basedOn w:val="28"/>
    <w:qFormat/>
    <w:uiPriority w:val="0"/>
  </w:style>
  <w:style w:type="character" w:customStyle="1" w:styleId="39">
    <w:name w:val="search_highlight2"/>
    <w:basedOn w:val="28"/>
    <w:qFormat/>
    <w:uiPriority w:val="0"/>
    <w:rPr>
      <w:rFonts w:hint="default" w:ascii="Arial" w:hAnsi="Arial" w:cs="Arial"/>
      <w:shd w:val="clear" w:color="auto" w:fill="FFFFB0"/>
    </w:rPr>
  </w:style>
  <w:style w:type="character" w:customStyle="1" w:styleId="40">
    <w:name w:val="style4"/>
    <w:basedOn w:val="28"/>
    <w:qFormat/>
    <w:uiPriority w:val="0"/>
  </w:style>
  <w:style w:type="character" w:customStyle="1" w:styleId="41">
    <w:name w:val="f141"/>
    <w:basedOn w:val="28"/>
    <w:qFormat/>
    <w:uiPriority w:val="0"/>
    <w:rPr>
      <w:b/>
      <w:bCs/>
      <w:sz w:val="21"/>
      <w:szCs w:val="21"/>
    </w:rPr>
  </w:style>
  <w:style w:type="character" w:customStyle="1" w:styleId="42">
    <w:name w:val="hei12b"/>
    <w:basedOn w:val="28"/>
    <w:qFormat/>
    <w:uiPriority w:val="0"/>
  </w:style>
  <w:style w:type="paragraph" w:customStyle="1" w:styleId="43">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4">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1">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3">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4">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5">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60">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2">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5">
    <w:name w:val="Char Char Char Char"/>
    <w:basedOn w:val="1"/>
    <w:qFormat/>
    <w:uiPriority w:val="0"/>
    <w:rPr>
      <w:rFonts w:eastAsia="宋体"/>
      <w:sz w:val="21"/>
    </w:rPr>
  </w:style>
  <w:style w:type="paragraph" w:customStyle="1" w:styleId="66">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8">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9">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7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71">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2">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3">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4">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5">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6">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7">
    <w:name w:val="列出段落1"/>
    <w:basedOn w:val="1"/>
    <w:qFormat/>
    <w:uiPriority w:val="0"/>
    <w:pPr>
      <w:suppressAutoHyphens/>
      <w:ind w:left="720"/>
      <w:jc w:val="left"/>
    </w:pPr>
    <w:rPr>
      <w:rFonts w:eastAsia="Times New Roman"/>
      <w:kern w:val="0"/>
      <w:sz w:val="24"/>
      <w:szCs w:val="24"/>
      <w:lang w:eastAsia="ar-SA"/>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81">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2">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3">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4">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UP标题3"/>
    <w:basedOn w:val="1"/>
    <w:qFormat/>
    <w:uiPriority w:val="0"/>
    <w:pPr>
      <w:spacing w:line="360" w:lineRule="auto"/>
      <w:ind w:firstLine="149" w:firstLineChars="149"/>
    </w:pPr>
    <w:rPr>
      <w:rFonts w:ascii="黑体" w:hAnsi="Calibri" w:eastAsia="黑体" w:cs="宋体"/>
      <w:szCs w:val="28"/>
    </w:rPr>
  </w:style>
  <w:style w:type="paragraph" w:customStyle="1" w:styleId="86">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7">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90">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1">
    <w:name w:val="列表段落1"/>
    <w:basedOn w:val="1"/>
    <w:qFormat/>
    <w:uiPriority w:val="34"/>
    <w:pPr>
      <w:ind w:firstLine="420" w:firstLineChars="200"/>
    </w:pPr>
    <w:rPr>
      <w:rFonts w:eastAsia="Times New Roman"/>
      <w:sz w:val="21"/>
      <w:szCs w:val="24"/>
    </w:rPr>
  </w:style>
  <w:style w:type="paragraph" w:customStyle="1" w:styleId="92">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3">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7">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8">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100">
    <w:name w:val="标题 1 字符"/>
    <w:basedOn w:val="28"/>
    <w:link w:val="3"/>
    <w:qFormat/>
    <w:uiPriority w:val="0"/>
    <w:rPr>
      <w:rFonts w:ascii="黑体" w:eastAsia="黑体"/>
      <w:sz w:val="60"/>
    </w:rPr>
  </w:style>
  <w:style w:type="character" w:customStyle="1" w:styleId="101">
    <w:name w:val="纯文本 Char"/>
    <w:qFormat/>
    <w:uiPriority w:val="0"/>
    <w:rPr>
      <w:rFonts w:ascii="宋体" w:hAnsi="Courier New"/>
      <w:sz w:val="24"/>
    </w:rPr>
  </w:style>
  <w:style w:type="character" w:customStyle="1" w:styleId="102">
    <w:name w:val="纯文本 字符"/>
    <w:basedOn w:val="28"/>
    <w:link w:val="15"/>
    <w:qFormat/>
    <w:uiPriority w:val="0"/>
    <w:rPr>
      <w:rFonts w:ascii="宋体" w:hAnsi="Courier New" w:cs="Courier New"/>
      <w:kern w:val="2"/>
      <w:sz w:val="21"/>
      <w:szCs w:val="21"/>
    </w:rPr>
  </w:style>
  <w:style w:type="paragraph" w:customStyle="1" w:styleId="103">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4">
    <w:name w:val="批注文字 字符"/>
    <w:basedOn w:val="28"/>
    <w:link w:val="10"/>
    <w:semiHidden/>
    <w:qFormat/>
    <w:uiPriority w:val="0"/>
    <w:rPr>
      <w:rFonts w:eastAsia="仿宋_GB2312"/>
      <w:kern w:val="2"/>
      <w:sz w:val="28"/>
    </w:rPr>
  </w:style>
  <w:style w:type="character" w:customStyle="1" w:styleId="105">
    <w:name w:val="批注主题 字符"/>
    <w:basedOn w:val="104"/>
    <w:link w:val="25"/>
    <w:qFormat/>
    <w:uiPriority w:val="0"/>
    <w:rPr>
      <w:rFonts w:eastAsia="仿宋_GB2312"/>
      <w:b/>
      <w:bCs/>
      <w:kern w:val="2"/>
      <w:sz w:val="28"/>
    </w:rPr>
  </w:style>
  <w:style w:type="character" w:customStyle="1" w:styleId="106">
    <w:name w:val="批注框文本 字符"/>
    <w:basedOn w:val="28"/>
    <w:link w:val="17"/>
    <w:qFormat/>
    <w:uiPriority w:val="0"/>
    <w:rPr>
      <w:rFonts w:eastAsia="仿宋_GB2312"/>
      <w:kern w:val="2"/>
      <w:sz w:val="18"/>
      <w:szCs w:val="18"/>
    </w:rPr>
  </w:style>
  <w:style w:type="character" w:customStyle="1" w:styleId="107">
    <w:name w:val="font11"/>
    <w:basedOn w:val="28"/>
    <w:qFormat/>
    <w:uiPriority w:val="0"/>
    <w:rPr>
      <w:rFonts w:hint="eastAsia" w:ascii="宋体" w:hAnsi="宋体" w:eastAsia="宋体" w:cs="宋体"/>
      <w:color w:val="000000"/>
      <w:sz w:val="22"/>
      <w:szCs w:val="22"/>
      <w:u w:val="none"/>
    </w:rPr>
  </w:style>
  <w:style w:type="character" w:customStyle="1" w:styleId="108">
    <w:name w:val="font01"/>
    <w:basedOn w:val="2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22</Pages>
  <Words>8425</Words>
  <Characters>8971</Characters>
  <Lines>72</Lines>
  <Paragraphs>20</Paragraphs>
  <TotalTime>3</TotalTime>
  <ScaleCrop>false</ScaleCrop>
  <LinksUpToDate>false</LinksUpToDate>
  <CharactersWithSpaces>9926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2022-09-19T01:35:00Z</cp:lastPrinted>
  <dcterms:modified xsi:type="dcterms:W3CDTF">2023-05-06T03:42:06Z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5A0FCFED7690433DABE562032942A835_13</vt:lpwstr>
  </property>
</Properties>
</file>